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A51" w:rsidRPr="00D1118C" w:rsidRDefault="00956B6A" w:rsidP="00126799">
      <w:pPr>
        <w:jc w:val="both"/>
        <w:rPr>
          <w:b/>
          <w:color w:val="C00000"/>
          <w:sz w:val="28"/>
          <w:szCs w:val="28"/>
        </w:rPr>
      </w:pPr>
      <w:r>
        <w:rPr>
          <w:b/>
          <w:color w:val="C00000"/>
          <w:sz w:val="28"/>
          <w:szCs w:val="28"/>
        </w:rPr>
        <w:t>I BENI DEL</w:t>
      </w:r>
      <w:r w:rsidR="005804DE">
        <w:rPr>
          <w:b/>
          <w:color w:val="C00000"/>
          <w:sz w:val="28"/>
          <w:szCs w:val="28"/>
        </w:rPr>
        <w:t xml:space="preserve">LA </w:t>
      </w:r>
      <w:r w:rsidR="00AA4A51" w:rsidRPr="00D1118C">
        <w:rPr>
          <w:b/>
          <w:color w:val="C00000"/>
          <w:sz w:val="28"/>
          <w:szCs w:val="28"/>
        </w:rPr>
        <w:t>CI</w:t>
      </w:r>
      <w:r w:rsidR="00302CE3">
        <w:rPr>
          <w:b/>
          <w:color w:val="C00000"/>
          <w:sz w:val="28"/>
          <w:szCs w:val="28"/>
        </w:rPr>
        <w:t>NTA MURARIA BASTIONE SAN SISTO</w:t>
      </w:r>
      <w:r w:rsidR="00E87B49">
        <w:rPr>
          <w:b/>
          <w:color w:val="C00000"/>
          <w:sz w:val="28"/>
          <w:szCs w:val="28"/>
        </w:rPr>
        <w:t>,</w:t>
      </w:r>
      <w:r w:rsidR="00AA4A51" w:rsidRPr="00D1118C">
        <w:rPr>
          <w:b/>
          <w:color w:val="C00000"/>
          <w:sz w:val="28"/>
          <w:szCs w:val="28"/>
        </w:rPr>
        <w:t xml:space="preserve"> TORRIONE FODESTA, </w:t>
      </w:r>
      <w:r w:rsidR="009C4682" w:rsidRPr="00D1118C">
        <w:rPr>
          <w:b/>
          <w:color w:val="C00000"/>
          <w:sz w:val="28"/>
          <w:szCs w:val="28"/>
        </w:rPr>
        <w:t xml:space="preserve">BASTIONE DI PORTA </w:t>
      </w:r>
      <w:r w:rsidR="00AA4A51" w:rsidRPr="00D1118C">
        <w:rPr>
          <w:b/>
          <w:color w:val="C00000"/>
          <w:sz w:val="28"/>
          <w:szCs w:val="28"/>
        </w:rPr>
        <w:t>BORGHETTO, P</w:t>
      </w:r>
      <w:r w:rsidR="00302CE3">
        <w:rPr>
          <w:b/>
          <w:color w:val="C00000"/>
          <w:sz w:val="28"/>
          <w:szCs w:val="28"/>
        </w:rPr>
        <w:t xml:space="preserve">ORTA DEL SOCCORSO, EX RIMESSA LOCOMOTORI (ANCHE DETTA BERZOLLA) </w:t>
      </w:r>
    </w:p>
    <w:p w:rsidR="00AA4A51" w:rsidRPr="00AA4A51" w:rsidRDefault="00AA4A51" w:rsidP="009C4682">
      <w:pPr>
        <w:jc w:val="both"/>
        <w:rPr>
          <w:rFonts w:ascii="Arial" w:hAnsi="Arial" w:cs="Arial"/>
          <w:sz w:val="20"/>
          <w:szCs w:val="20"/>
        </w:rPr>
      </w:pPr>
    </w:p>
    <w:p w:rsidR="00AA4A51" w:rsidRPr="00AA4A51" w:rsidRDefault="00B903F3" w:rsidP="009C4682">
      <w:pPr>
        <w:jc w:val="both"/>
        <w:rPr>
          <w:rFonts w:ascii="Arial" w:hAnsi="Arial" w:cs="Arial"/>
          <w:sz w:val="20"/>
          <w:szCs w:val="20"/>
        </w:rPr>
      </w:pPr>
      <w:r w:rsidRPr="00925EBE">
        <w:rPr>
          <w:noProof/>
          <w:lang w:eastAsia="it-IT"/>
        </w:rPr>
        <w:drawing>
          <wp:anchor distT="0" distB="0" distL="114300" distR="114300" simplePos="0" relativeHeight="251682816" behindDoc="1" locked="0" layoutInCell="1" allowOverlap="1">
            <wp:simplePos x="0" y="0"/>
            <wp:positionH relativeFrom="column">
              <wp:posOffset>38735</wp:posOffset>
            </wp:positionH>
            <wp:positionV relativeFrom="paragraph">
              <wp:posOffset>33655</wp:posOffset>
            </wp:positionV>
            <wp:extent cx="2148840" cy="1336675"/>
            <wp:effectExtent l="0" t="0" r="3810" b="0"/>
            <wp:wrapThrough wrapText="bothSides">
              <wp:wrapPolygon edited="0">
                <wp:start x="0" y="0"/>
                <wp:lineTo x="0" y="21241"/>
                <wp:lineTo x="21447" y="21241"/>
                <wp:lineTo x="21447" y="0"/>
                <wp:lineTo x="0" y="0"/>
              </wp:wrapPolygon>
            </wp:wrapThrough>
            <wp:docPr id="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8840" cy="1336675"/>
                    </a:xfrm>
                    <a:prstGeom prst="rect">
                      <a:avLst/>
                    </a:prstGeom>
                    <a:noFill/>
                    <a:ln w="28575">
                      <a:noFill/>
                    </a:ln>
                  </pic:spPr>
                </pic:pic>
              </a:graphicData>
            </a:graphic>
            <wp14:sizeRelH relativeFrom="page">
              <wp14:pctWidth>0</wp14:pctWidth>
            </wp14:sizeRelH>
            <wp14:sizeRelV relativeFrom="page">
              <wp14:pctHeight>0</wp14:pctHeight>
            </wp14:sizeRelV>
          </wp:anchor>
        </w:drawing>
      </w:r>
      <w:r w:rsidR="00AA4A51" w:rsidRPr="00AA4A51">
        <w:rPr>
          <w:rFonts w:ascii="Arial" w:hAnsi="Arial" w:cs="Arial"/>
          <w:sz w:val="20"/>
          <w:szCs w:val="20"/>
        </w:rPr>
        <w:t>Piacenza ha origini storiche molto antiche di costante ispirazione al presidio ed alla difesa del territorio; luogo di conquista prima e di importanti e frequenti passaggi commerciali poi, si erge in posizione strategica fra Lombardia ed Emilia.</w:t>
      </w:r>
    </w:p>
    <w:p w:rsidR="00AA4A51" w:rsidRPr="00AA4A51" w:rsidRDefault="00AA4A51" w:rsidP="009C4682">
      <w:pPr>
        <w:jc w:val="both"/>
        <w:rPr>
          <w:rFonts w:ascii="Arial" w:hAnsi="Arial" w:cs="Arial"/>
          <w:sz w:val="20"/>
          <w:szCs w:val="20"/>
        </w:rPr>
      </w:pPr>
      <w:r w:rsidRPr="00AA4A51">
        <w:rPr>
          <w:rFonts w:ascii="Arial" w:hAnsi="Arial" w:cs="Arial"/>
          <w:sz w:val="20"/>
          <w:szCs w:val="20"/>
        </w:rPr>
        <w:t>I mutamenti e le evoluzioni susseguitesi nel tempo hanno visto l’alternarsi di momenti di grande apertura agli scambi</w:t>
      </w:r>
      <w:r w:rsidR="005804DE">
        <w:rPr>
          <w:rFonts w:ascii="Arial" w:hAnsi="Arial" w:cs="Arial"/>
          <w:sz w:val="20"/>
          <w:szCs w:val="20"/>
        </w:rPr>
        <w:t>,</w:t>
      </w:r>
      <w:r w:rsidRPr="00AA4A51">
        <w:rPr>
          <w:rFonts w:ascii="Arial" w:hAnsi="Arial" w:cs="Arial"/>
          <w:sz w:val="20"/>
          <w:szCs w:val="20"/>
        </w:rPr>
        <w:t xml:space="preserve"> con periodi di chiusura e di difesa che, tuttavia, hanno riconfermato e consolidato il ruolo di centro nevralgico per il territorio.</w:t>
      </w:r>
      <w:r>
        <w:rPr>
          <w:rFonts w:ascii="Arial" w:hAnsi="Arial" w:cs="Arial"/>
          <w:sz w:val="20"/>
          <w:szCs w:val="20"/>
        </w:rPr>
        <w:t xml:space="preserve"> </w:t>
      </w:r>
      <w:r w:rsidRPr="00AA4A51">
        <w:rPr>
          <w:rFonts w:ascii="Arial" w:hAnsi="Arial" w:cs="Arial"/>
          <w:sz w:val="20"/>
          <w:szCs w:val="20"/>
        </w:rPr>
        <w:t xml:space="preserve">La cospicua presenza di strutture militari rimane un elemento caratterizzante per la </w:t>
      </w:r>
      <w:r w:rsidR="005804DE">
        <w:rPr>
          <w:rFonts w:ascii="Arial" w:hAnsi="Arial" w:cs="Arial"/>
          <w:sz w:val="20"/>
          <w:szCs w:val="20"/>
        </w:rPr>
        <w:t>C</w:t>
      </w:r>
      <w:r w:rsidRPr="00AA4A51">
        <w:rPr>
          <w:rFonts w:ascii="Arial" w:hAnsi="Arial" w:cs="Arial"/>
          <w:sz w:val="20"/>
          <w:szCs w:val="20"/>
        </w:rPr>
        <w:t>ittà</w:t>
      </w:r>
      <w:r w:rsidR="005804DE">
        <w:rPr>
          <w:rFonts w:ascii="Arial" w:hAnsi="Arial" w:cs="Arial"/>
          <w:sz w:val="20"/>
          <w:szCs w:val="20"/>
        </w:rPr>
        <w:t>,</w:t>
      </w:r>
      <w:r w:rsidRPr="00AA4A51">
        <w:rPr>
          <w:rFonts w:ascii="Arial" w:hAnsi="Arial" w:cs="Arial"/>
          <w:sz w:val="20"/>
          <w:szCs w:val="20"/>
        </w:rPr>
        <w:t xml:space="preserve"> che necessariamente affronta oggi importanti e nuovi momenti di ridisegno. L’attuale aspetto e conformazione di Piacenza, con una altrettanto corposa presenza di infrastrutture e realtà economiche destinate alla logistica, racconta di un passato e di un presente nei quali la </w:t>
      </w:r>
      <w:r w:rsidR="005804DE">
        <w:rPr>
          <w:rFonts w:ascii="Arial" w:hAnsi="Arial" w:cs="Arial"/>
          <w:sz w:val="20"/>
          <w:szCs w:val="20"/>
        </w:rPr>
        <w:t>C</w:t>
      </w:r>
      <w:r w:rsidRPr="00AA4A51">
        <w:rPr>
          <w:rFonts w:ascii="Arial" w:hAnsi="Arial" w:cs="Arial"/>
          <w:sz w:val="20"/>
          <w:szCs w:val="20"/>
        </w:rPr>
        <w:t>ittà, grazie alle sue naturali vocazioni, è</w:t>
      </w:r>
      <w:r w:rsidR="009C4682">
        <w:rPr>
          <w:rFonts w:ascii="Arial" w:hAnsi="Arial" w:cs="Arial"/>
          <w:sz w:val="20"/>
          <w:szCs w:val="20"/>
        </w:rPr>
        <w:t xml:space="preserve"> stata destinata ad assumere un </w:t>
      </w:r>
      <w:r w:rsidRPr="00AA4A51">
        <w:rPr>
          <w:rFonts w:ascii="Arial" w:hAnsi="Arial" w:cs="Arial"/>
          <w:sz w:val="20"/>
          <w:szCs w:val="20"/>
        </w:rPr>
        <w:t>compito di presidio ma anche di naturale luogo di passaggio e di scambi commerciali.</w:t>
      </w:r>
    </w:p>
    <w:p w:rsidR="00AA4A51" w:rsidRPr="00AA4A51" w:rsidRDefault="00AA4A51" w:rsidP="009C4682">
      <w:pPr>
        <w:jc w:val="both"/>
        <w:rPr>
          <w:rFonts w:ascii="Arial" w:hAnsi="Arial" w:cs="Arial"/>
          <w:sz w:val="20"/>
          <w:szCs w:val="20"/>
        </w:rPr>
      </w:pPr>
      <w:r w:rsidRPr="00AA4A51">
        <w:rPr>
          <w:rFonts w:ascii="Arial" w:hAnsi="Arial" w:cs="Arial"/>
          <w:sz w:val="20"/>
          <w:szCs w:val="20"/>
        </w:rPr>
        <w:t>Questi due fattori rimangono importanti elementi cara</w:t>
      </w:r>
      <w:bookmarkStart w:id="0" w:name="_GoBack"/>
      <w:bookmarkEnd w:id="0"/>
      <w:r w:rsidRPr="00AA4A51">
        <w:rPr>
          <w:rFonts w:ascii="Arial" w:hAnsi="Arial" w:cs="Arial"/>
          <w:sz w:val="20"/>
          <w:szCs w:val="20"/>
        </w:rPr>
        <w:t xml:space="preserve">tterizzanti dello sviluppo </w:t>
      </w:r>
      <w:r w:rsidR="005804DE">
        <w:rPr>
          <w:rFonts w:ascii="Arial" w:hAnsi="Arial" w:cs="Arial"/>
          <w:sz w:val="20"/>
          <w:szCs w:val="20"/>
        </w:rPr>
        <w:t>del territorio</w:t>
      </w:r>
      <w:r w:rsidRPr="00AA4A51">
        <w:rPr>
          <w:rFonts w:ascii="Arial" w:hAnsi="Arial" w:cs="Arial"/>
          <w:sz w:val="20"/>
          <w:szCs w:val="20"/>
        </w:rPr>
        <w:t xml:space="preserve"> che</w:t>
      </w:r>
      <w:r w:rsidR="005804DE">
        <w:rPr>
          <w:rFonts w:ascii="Arial" w:hAnsi="Arial" w:cs="Arial"/>
          <w:sz w:val="20"/>
          <w:szCs w:val="20"/>
        </w:rPr>
        <w:t>,</w:t>
      </w:r>
      <w:r w:rsidRPr="00AA4A51">
        <w:rPr>
          <w:rFonts w:ascii="Arial" w:hAnsi="Arial" w:cs="Arial"/>
          <w:sz w:val="20"/>
          <w:szCs w:val="20"/>
        </w:rPr>
        <w:t xml:space="preserve"> ancor</w:t>
      </w:r>
      <w:r w:rsidR="00CB1DB6">
        <w:rPr>
          <w:rFonts w:ascii="Arial" w:hAnsi="Arial" w:cs="Arial"/>
          <w:sz w:val="20"/>
          <w:szCs w:val="20"/>
        </w:rPr>
        <w:t>a</w:t>
      </w:r>
      <w:r w:rsidRPr="00AA4A51">
        <w:rPr>
          <w:rFonts w:ascii="Arial" w:hAnsi="Arial" w:cs="Arial"/>
          <w:sz w:val="20"/>
          <w:szCs w:val="20"/>
        </w:rPr>
        <w:t xml:space="preserve"> oggi</w:t>
      </w:r>
      <w:r w:rsidR="005804DE">
        <w:rPr>
          <w:rFonts w:ascii="Arial" w:hAnsi="Arial" w:cs="Arial"/>
          <w:sz w:val="20"/>
          <w:szCs w:val="20"/>
        </w:rPr>
        <w:t>,</w:t>
      </w:r>
      <w:r w:rsidRPr="00AA4A51">
        <w:rPr>
          <w:rFonts w:ascii="Arial" w:hAnsi="Arial" w:cs="Arial"/>
          <w:sz w:val="20"/>
          <w:szCs w:val="20"/>
        </w:rPr>
        <w:t xml:space="preserve"> guidano gran parte dello trasformazioni</w:t>
      </w:r>
      <w:r w:rsidR="00CB1DB6">
        <w:rPr>
          <w:rFonts w:ascii="Arial" w:hAnsi="Arial" w:cs="Arial"/>
          <w:sz w:val="20"/>
          <w:szCs w:val="20"/>
        </w:rPr>
        <w:t xml:space="preserve"> in atto</w:t>
      </w:r>
      <w:r w:rsidRPr="00AA4A51">
        <w:rPr>
          <w:rFonts w:ascii="Arial" w:hAnsi="Arial" w:cs="Arial"/>
          <w:sz w:val="20"/>
          <w:szCs w:val="20"/>
        </w:rPr>
        <w:t>.</w:t>
      </w:r>
    </w:p>
    <w:p w:rsidR="00AA4A51" w:rsidRPr="00AA4A51" w:rsidRDefault="005A20AB" w:rsidP="009C4682">
      <w:pPr>
        <w:jc w:val="both"/>
        <w:rPr>
          <w:rFonts w:ascii="Arial" w:hAnsi="Arial" w:cs="Arial"/>
          <w:sz w:val="20"/>
          <w:szCs w:val="20"/>
        </w:rPr>
      </w:pPr>
      <w:r w:rsidRPr="009F58B0">
        <w:rPr>
          <w:noProof/>
          <w:lang w:eastAsia="it-IT"/>
        </w:rPr>
        <w:drawing>
          <wp:anchor distT="0" distB="0" distL="114300" distR="114300" simplePos="0" relativeHeight="251663360" behindDoc="0" locked="0" layoutInCell="1" allowOverlap="1" wp14:anchorId="70CF529F" wp14:editId="5CA191E6">
            <wp:simplePos x="0" y="0"/>
            <wp:positionH relativeFrom="margin">
              <wp:posOffset>38735</wp:posOffset>
            </wp:positionH>
            <wp:positionV relativeFrom="paragraph">
              <wp:posOffset>2540</wp:posOffset>
            </wp:positionV>
            <wp:extent cx="1552575" cy="1531620"/>
            <wp:effectExtent l="0" t="0" r="9525" b="0"/>
            <wp:wrapSquare wrapText="left"/>
            <wp:docPr id="4" name="Immagine 10" descr="20150601_10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1_103713.jpg"/>
                    <pic:cNvPicPr/>
                  </pic:nvPicPr>
                  <pic:blipFill>
                    <a:blip r:embed="rId8" cstate="print"/>
                    <a:srcRect t="22692"/>
                    <a:stretch>
                      <a:fillRect/>
                    </a:stretch>
                  </pic:blipFill>
                  <pic:spPr>
                    <a:xfrm>
                      <a:off x="0" y="0"/>
                      <a:ext cx="1552575" cy="1531620"/>
                    </a:xfrm>
                    <a:prstGeom prst="rect">
                      <a:avLst/>
                    </a:prstGeom>
                    <a:ln w="28575">
                      <a:noFill/>
                    </a:ln>
                  </pic:spPr>
                </pic:pic>
              </a:graphicData>
            </a:graphic>
            <wp14:sizeRelH relativeFrom="margin">
              <wp14:pctWidth>0</wp14:pctWidth>
            </wp14:sizeRelH>
            <wp14:sizeRelV relativeFrom="margin">
              <wp14:pctHeight>0</wp14:pctHeight>
            </wp14:sizeRelV>
          </wp:anchor>
        </w:drawing>
      </w:r>
      <w:r w:rsidR="00AA4A51" w:rsidRPr="00AA4A51">
        <w:rPr>
          <w:rFonts w:ascii="Arial" w:hAnsi="Arial" w:cs="Arial"/>
          <w:sz w:val="20"/>
          <w:szCs w:val="20"/>
        </w:rPr>
        <w:t xml:space="preserve">Riconsiderare la cinta muraria come segno territoriale forte, riattivando i volumi in essa inglobati e organizzando funzionalità nuove, riallinea la semantica sulla continuità storica ed al contempo assume un importante significato di rinnovamento, moltiplicando l’offerta culturale a sostegno di una vocazione sempre più voluta di </w:t>
      </w:r>
      <w:r w:rsidR="00CB1DB6">
        <w:rPr>
          <w:rFonts w:ascii="Arial" w:hAnsi="Arial" w:cs="Arial"/>
          <w:sz w:val="20"/>
          <w:szCs w:val="20"/>
        </w:rPr>
        <w:t>C</w:t>
      </w:r>
      <w:r w:rsidR="00AA4A51" w:rsidRPr="00AA4A51">
        <w:rPr>
          <w:rFonts w:ascii="Arial" w:hAnsi="Arial" w:cs="Arial"/>
          <w:sz w:val="20"/>
          <w:szCs w:val="20"/>
        </w:rPr>
        <w:t xml:space="preserve">ittà </w:t>
      </w:r>
      <w:r w:rsidR="00AA4A51">
        <w:rPr>
          <w:rFonts w:ascii="Arial" w:hAnsi="Arial" w:cs="Arial"/>
          <w:sz w:val="20"/>
          <w:szCs w:val="20"/>
        </w:rPr>
        <w:t>d’arte.</w:t>
      </w:r>
      <w:r w:rsidR="005804DE">
        <w:rPr>
          <w:rFonts w:ascii="Arial" w:hAnsi="Arial" w:cs="Arial"/>
          <w:sz w:val="20"/>
          <w:szCs w:val="20"/>
        </w:rPr>
        <w:t xml:space="preserve"> </w:t>
      </w:r>
      <w:r w:rsidR="00AA4A51" w:rsidRPr="00AA4A51">
        <w:rPr>
          <w:rFonts w:ascii="Arial" w:hAnsi="Arial" w:cs="Arial"/>
          <w:sz w:val="20"/>
          <w:szCs w:val="20"/>
        </w:rPr>
        <w:t>La cinta muraria di Piacenza costituisce una fra le principali emergenze storiche della cittadina ed una delle testimonianze dell’origine di Piacenza: presidio già esistente all’epoca delle guerre puniche, fu sempre – per posizione e morfologia – un elemento nodale dell’accesso alla Pianura Padana, e per questo necessariamente fortificata.</w:t>
      </w:r>
      <w:r w:rsidR="00AA4A51" w:rsidRPr="00AA4A51">
        <w:rPr>
          <w:noProof/>
          <w:lang w:eastAsia="it-IT"/>
        </w:rPr>
        <w:t xml:space="preserve"> </w:t>
      </w:r>
      <w:r w:rsidR="00126799">
        <w:rPr>
          <w:noProof/>
          <w:lang w:eastAsia="it-IT"/>
        </w:rPr>
        <w:t xml:space="preserve">                                                                                                             </w:t>
      </w:r>
      <w:r w:rsidR="009C4682">
        <w:rPr>
          <w:noProof/>
          <w:lang w:eastAsia="it-IT"/>
        </w:rPr>
        <w:t xml:space="preserve">               </w:t>
      </w:r>
    </w:p>
    <w:p w:rsidR="00AA4A51" w:rsidRPr="00AA4A51" w:rsidRDefault="00AA4A51" w:rsidP="009C4682">
      <w:pPr>
        <w:jc w:val="both"/>
        <w:rPr>
          <w:rFonts w:ascii="Arial" w:hAnsi="Arial" w:cs="Arial"/>
          <w:sz w:val="20"/>
          <w:szCs w:val="20"/>
        </w:rPr>
      </w:pPr>
      <w:r w:rsidRPr="00AA4A51">
        <w:rPr>
          <w:rFonts w:ascii="Arial" w:hAnsi="Arial" w:cs="Arial"/>
          <w:sz w:val="20"/>
          <w:szCs w:val="20"/>
        </w:rPr>
        <w:t>Dall’epoca romana ai giorni nostri l’aspetto territoriale ed infrastrutturale è indubbiamente mutato e sono molte le vicende che hanno restituito la Piacenza odierna, tuttavia sempre fortemente legata ad un’anima difensiva e di presidio del territorio.</w:t>
      </w:r>
    </w:p>
    <w:p w:rsidR="00AA4A51" w:rsidRPr="00AA4A51" w:rsidRDefault="00AA4A51" w:rsidP="009C4682">
      <w:pPr>
        <w:jc w:val="both"/>
        <w:rPr>
          <w:rFonts w:ascii="Arial" w:hAnsi="Arial" w:cs="Arial"/>
          <w:sz w:val="20"/>
          <w:szCs w:val="20"/>
        </w:rPr>
      </w:pPr>
      <w:r w:rsidRPr="00AA4A51">
        <w:rPr>
          <w:rFonts w:ascii="Arial" w:hAnsi="Arial" w:cs="Arial"/>
          <w:sz w:val="20"/>
          <w:szCs w:val="20"/>
        </w:rPr>
        <w:t>Per Piacenza si prospetta da tempo un ulteriore mutamento della su</w:t>
      </w:r>
      <w:r w:rsidR="00126799">
        <w:rPr>
          <w:rFonts w:ascii="Arial" w:hAnsi="Arial" w:cs="Arial"/>
          <w:sz w:val="20"/>
          <w:szCs w:val="20"/>
        </w:rPr>
        <w:t xml:space="preserve">a natura, il cui ultimo fattore </w:t>
      </w:r>
      <w:r w:rsidRPr="00AA4A51">
        <w:rPr>
          <w:rFonts w:ascii="Arial" w:hAnsi="Arial" w:cs="Arial"/>
          <w:sz w:val="20"/>
          <w:szCs w:val="20"/>
        </w:rPr>
        <w:t>scatenante è indubbiamente generato dal riassetto della Difesa Nazionale e dal programma di razionalizzazione e dismissione delle caserme e di tutti i siti preposti all’organizzazione di questa funzione. Ed è proprio questa occasione di profondo mutamento che genera una naturale riflessione sulle mura storiche della città e sulla totale annessione al patrimonio cittadino.</w:t>
      </w:r>
    </w:p>
    <w:p w:rsidR="00AA4A51" w:rsidRPr="00AA4A51" w:rsidRDefault="00AA4A51" w:rsidP="009C4682">
      <w:pPr>
        <w:jc w:val="both"/>
        <w:rPr>
          <w:rFonts w:ascii="Arial" w:hAnsi="Arial" w:cs="Arial"/>
          <w:sz w:val="20"/>
          <w:szCs w:val="20"/>
        </w:rPr>
      </w:pPr>
      <w:r w:rsidRPr="00AA4A51">
        <w:rPr>
          <w:rFonts w:ascii="Arial" w:hAnsi="Arial" w:cs="Arial"/>
          <w:sz w:val="20"/>
          <w:szCs w:val="20"/>
        </w:rPr>
        <w:t xml:space="preserve">Già negli anni 40 del ‘900, all’interno del dibattito cittadino si rilevava la dimensione testimoniale e la portata urbanistica delle mura di Piacenza. Il progetto di creare un parco delle mura è radicata nei desideri di Piacenza già dagli anni ‘80. Si parla costantemente della valorizzazione delle mura Farnesiane come un'occasione per ridare identità storica a Piacenza. </w:t>
      </w:r>
      <w:r w:rsidR="00335DB0">
        <w:rPr>
          <w:noProof/>
          <w:lang w:eastAsia="it-IT"/>
        </w:rPr>
        <mc:AlternateContent>
          <mc:Choice Requires="wps">
            <w:drawing>
              <wp:anchor distT="0" distB="0" distL="114300" distR="114300" simplePos="0" relativeHeight="251671552" behindDoc="0" locked="0" layoutInCell="1" allowOverlap="1" wp14:anchorId="53645323" wp14:editId="4AD634D7">
                <wp:simplePos x="0" y="0"/>
                <wp:positionH relativeFrom="column">
                  <wp:posOffset>3916045</wp:posOffset>
                </wp:positionH>
                <wp:positionV relativeFrom="paragraph">
                  <wp:posOffset>986790</wp:posOffset>
                </wp:positionV>
                <wp:extent cx="47625" cy="45085"/>
                <wp:effectExtent l="0" t="0" r="9525" b="0"/>
                <wp:wrapSquare wrapText="left"/>
                <wp:docPr id="10" name="Casella di testo 10"/>
                <wp:cNvGraphicFramePr/>
                <a:graphic xmlns:a="http://schemas.openxmlformats.org/drawingml/2006/main">
                  <a:graphicData uri="http://schemas.microsoft.com/office/word/2010/wordprocessingShape">
                    <wps:wsp>
                      <wps:cNvSpPr txBox="1"/>
                      <wps:spPr>
                        <a:xfrm flipH="1" flipV="1">
                          <a:off x="0" y="0"/>
                          <a:ext cx="47625" cy="45085"/>
                        </a:xfrm>
                        <a:prstGeom prst="rect">
                          <a:avLst/>
                        </a:prstGeom>
                        <a:solidFill>
                          <a:prstClr val="white"/>
                        </a:solidFill>
                        <a:ln>
                          <a:noFill/>
                        </a:ln>
                        <a:effectLst/>
                      </wps:spPr>
                      <wps:txbx>
                        <w:txbxContent>
                          <w:p w:rsidR="00335DB0" w:rsidRPr="00335DB0" w:rsidRDefault="001A0783" w:rsidP="00335DB0">
                            <w:pPr>
                              <w:pStyle w:val="Didascalia"/>
                              <w:rPr>
                                <w:rFonts w:ascii="Arial" w:hAnsi="Arial" w:cs="Arial"/>
                                <w:b w:val="0"/>
                                <w:noProof/>
                                <w:color w:val="C00000"/>
                                <w:sz w:val="20"/>
                                <w:szCs w:val="20"/>
                              </w:rPr>
                            </w:pPr>
                            <w:r>
                              <w:rPr>
                                <w:rFonts w:ascii="Arial" w:hAnsi="Arial" w:cs="Arial"/>
                                <w:b w:val="0"/>
                                <w:noProof/>
                                <w:color w:val="C0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0" o:spid="_x0000_s1026" type="#_x0000_t202" style="position:absolute;left:0;text-align:left;margin-left:308.35pt;margin-top:77.7pt;width:3.75pt;height:3.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zDQQIAAIkEAAAOAAAAZHJzL2Uyb0RvYy54bWysVN9v0zAQfkfif7D8TtNN25iipVPpVECq&#10;tkkd7Nl17MWS4zP2tUn56zk7SYHBE+LFutyPz77vu8vNbd9adlAhGnAVP5vNOVNOQm3cS8W/PK3f&#10;XXMWUbhaWHCq4kcV+e3i7ZubzpfqHBqwtQqMQFwsO1/xBtGXRRFlo1oRZ+CVo6CG0Aqkz/BS1EF0&#10;hN7a4nw+vyo6CLUPIFWM5L0bgnyR8bVWEh+0jgqZrTi9DfMZ8rlLZ7G4EeVLEL4xcnyG+IdXtMI4&#10;uvQEdSdQsH0wf0C1RgaIoHEmoS1AayNV7oG6OZu/6mbbCK9yL0RO9Cea4v+DlfeHx8BMTdoRPU60&#10;pNFKRGWtYLVhqCICoxDx1PlYUvrWUwH2H6CnmskfyZna73VombbGf0rBbH1NVopRs4xq6JrjiXnV&#10;I5PkvHh/dX7JmaTIxeX8+jLhFgNcKvUh4kcFLUtGxQPJmiHFYRNxSJ1SUnoEa+q1sXaqXdnADoJG&#10;oGsMqhH8tyzrUq6DVDUADh6VZ2i8JTEwdJos7Hf9SMsO6iOxEmCYr+jl2tBLNyLiowg0UNQ0LQk+&#10;0KEtdBWH0eKsgfD9b/6UTzpTlLOOBrTi8dteBMWZ/exoAtI0T0aYjN1kuH27AmqYRKDXZJMKAtrJ&#10;1AHaZ9qdZbqFQsJJuqviOJkrHNaEdk+q5TIn0cx6gRu39XJSNfH+1D+L4EdxkDS9h2l0RflKoyF3&#10;IHu5R9AmC5gIHVgk4dMHzXsegXE300L9+p2zfv5BFj8AAAD//wMAUEsDBBQABgAIAAAAIQCf9pAn&#10;4AAAAAsBAAAPAAAAZHJzL2Rvd25yZXYueG1sTI/BToNAEIbvJr7DZky82aUEtoayNMak6cF6sBp7&#10;XWAEUnaWsFtK397xZI8z/5d/vsk3s+3FhKPvHGlYLiIQSJWrO2o0fH1un55B+GCoNr0j1HBFD5vi&#10;/i43We0u9IHTITSCS8hnRkMbwpBJ6asWrfELNyBx9uNGawKPYyPr0Vy43PYyjiIlremIL7RmwNcW&#10;q9PhbDWU13KrTu8y/U6St9XRTrv9vttp/fgwv6xBBJzDPwx/+qwOBTuV7ky1F70GtVQrRjlI0wQE&#10;EypOYhAlb1ScgixyeftD8QsAAP//AwBQSwECLQAUAAYACAAAACEAtoM4kv4AAADhAQAAEwAAAAAA&#10;AAAAAAAAAAAAAAAAW0NvbnRlbnRfVHlwZXNdLnhtbFBLAQItABQABgAIAAAAIQA4/SH/1gAAAJQB&#10;AAALAAAAAAAAAAAAAAAAAC8BAABfcmVscy8ucmVsc1BLAQItABQABgAIAAAAIQDJMxzDQQIAAIkE&#10;AAAOAAAAAAAAAAAAAAAAAC4CAABkcnMvZTJvRG9jLnhtbFBLAQItABQABgAIAAAAIQCf9pAn4AAA&#10;AAsBAAAPAAAAAAAAAAAAAAAAAJsEAABkcnMvZG93bnJldi54bWxQSwUGAAAAAAQABADzAAAAqAUA&#10;AAAA&#10;" stroked="f">
                <v:textbox inset="0,0,0,0">
                  <w:txbxContent>
                    <w:p w:rsidR="00335DB0" w:rsidRPr="00335DB0" w:rsidRDefault="001A0783" w:rsidP="00335DB0">
                      <w:pPr>
                        <w:pStyle w:val="Didascalia"/>
                        <w:rPr>
                          <w:rFonts w:ascii="Arial" w:hAnsi="Arial" w:cs="Arial"/>
                          <w:b w:val="0"/>
                          <w:noProof/>
                          <w:color w:val="C00000"/>
                          <w:sz w:val="20"/>
                          <w:szCs w:val="20"/>
                        </w:rPr>
                      </w:pPr>
                      <w:r>
                        <w:rPr>
                          <w:rFonts w:ascii="Arial" w:hAnsi="Arial" w:cs="Arial"/>
                          <w:b w:val="0"/>
                          <w:noProof/>
                          <w:color w:val="C00000"/>
                          <w:sz w:val="20"/>
                          <w:szCs w:val="20"/>
                        </w:rPr>
                        <w:t>.</w:t>
                      </w:r>
                    </w:p>
                  </w:txbxContent>
                </v:textbox>
                <w10:wrap type="square" side="left"/>
              </v:shape>
            </w:pict>
          </mc:Fallback>
        </mc:AlternateContent>
      </w:r>
      <w:r w:rsidRPr="00AA4A51">
        <w:rPr>
          <w:rFonts w:ascii="Arial" w:hAnsi="Arial" w:cs="Arial"/>
          <w:sz w:val="20"/>
          <w:szCs w:val="20"/>
        </w:rPr>
        <w:t xml:space="preserve">Seppur in differenti occasioni si sia cercato di sostenere e realizzare l’idea conservativa e siano </w:t>
      </w:r>
      <w:r w:rsidR="00CB1DB6">
        <w:rPr>
          <w:rFonts w:ascii="Arial" w:hAnsi="Arial" w:cs="Arial"/>
          <w:sz w:val="20"/>
          <w:szCs w:val="20"/>
        </w:rPr>
        <w:t xml:space="preserve">state svolte </w:t>
      </w:r>
      <w:r w:rsidRPr="00AA4A51">
        <w:rPr>
          <w:rFonts w:ascii="Arial" w:hAnsi="Arial" w:cs="Arial"/>
          <w:sz w:val="20"/>
          <w:szCs w:val="20"/>
        </w:rPr>
        <w:t>azioni di restituzione di porzioni delle mura alla cittadinanza, la mancanza di un programma specifico e strutturato, ha causato il continuo degrado ed alcuni tratti ad oggi sono irrimediabilmente persi. Fortunatamente il vincolo monumentale apposto ne impedisce la cancellazione di ulteriori parti e si spinge anche fino alla richiesta della lettura posizionale dei tratti persi, permettendone – seppur virtualmente - l’apprezzamento della totalità iniziale.</w:t>
      </w:r>
    </w:p>
    <w:p w:rsidR="00AA4A51" w:rsidRPr="00AA4A51" w:rsidRDefault="00302CE3" w:rsidP="009C4682">
      <w:pPr>
        <w:jc w:val="both"/>
        <w:rPr>
          <w:rFonts w:ascii="Arial" w:hAnsi="Arial" w:cs="Arial"/>
          <w:sz w:val="20"/>
          <w:szCs w:val="20"/>
        </w:rPr>
      </w:pPr>
      <w:r>
        <w:rPr>
          <w:rFonts w:ascii="Arial" w:hAnsi="Arial" w:cs="Arial"/>
          <w:noProof/>
          <w:sz w:val="20"/>
          <w:szCs w:val="20"/>
          <w:lang w:eastAsia="it-IT"/>
        </w:rPr>
        <w:lastRenderedPageBreak/>
        <w:drawing>
          <wp:anchor distT="0" distB="0" distL="114300" distR="114300" simplePos="0" relativeHeight="251688960" behindDoc="0" locked="0" layoutInCell="1" allowOverlap="1">
            <wp:simplePos x="0" y="0"/>
            <wp:positionH relativeFrom="margin">
              <wp:posOffset>37382</wp:posOffset>
            </wp:positionH>
            <wp:positionV relativeFrom="margin">
              <wp:posOffset>44229</wp:posOffset>
            </wp:positionV>
            <wp:extent cx="1926590" cy="1780540"/>
            <wp:effectExtent l="0" t="0" r="0" b="0"/>
            <wp:wrapSquare wrapText="bothSides"/>
            <wp:docPr id="2" name="Immagine 2" descr="Z:\00. PRIORITA'\01 EVENTI 2015\15_09_21 CONSULTAZIONE PUBBLICA PIACENZA\Testi e foto per sito\galleria foto\Bastione Borghet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0. PRIORITA'\01 EVENTI 2015\15_09_21 CONSULTAZIONE PUBBLICA PIACENZA\Testi e foto per sito\galleria foto\Bastione Borghetto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6590" cy="1780540"/>
                    </a:xfrm>
                    <a:prstGeom prst="rect">
                      <a:avLst/>
                    </a:prstGeom>
                    <a:noFill/>
                    <a:ln>
                      <a:noFill/>
                    </a:ln>
                  </pic:spPr>
                </pic:pic>
              </a:graphicData>
            </a:graphic>
          </wp:anchor>
        </w:drawing>
      </w:r>
      <w:r w:rsidRPr="00302CE3">
        <w:rPr>
          <w:rFonts w:ascii="Arial" w:hAnsi="Arial" w:cs="Arial"/>
          <w:sz w:val="20"/>
          <w:szCs w:val="20"/>
        </w:rPr>
        <w:t xml:space="preserve"> </w:t>
      </w:r>
      <w:r w:rsidR="00AA4A51" w:rsidRPr="00AA4A51">
        <w:rPr>
          <w:rFonts w:ascii="Arial" w:hAnsi="Arial" w:cs="Arial"/>
          <w:sz w:val="20"/>
          <w:szCs w:val="20"/>
        </w:rPr>
        <w:t xml:space="preserve">Alla luce della nuova normativa si può con prontezza dar vita </w:t>
      </w:r>
      <w:r w:rsidR="00385CA0">
        <w:rPr>
          <w:rFonts w:ascii="Arial" w:hAnsi="Arial" w:cs="Arial"/>
          <w:sz w:val="20"/>
          <w:szCs w:val="20"/>
        </w:rPr>
        <w:t xml:space="preserve">ad una operazione di grande </w:t>
      </w:r>
      <w:r w:rsidR="00CB1DB6">
        <w:rPr>
          <w:rFonts w:ascii="Arial" w:hAnsi="Arial" w:cs="Arial"/>
          <w:sz w:val="20"/>
          <w:szCs w:val="20"/>
        </w:rPr>
        <w:t>respiro,</w:t>
      </w:r>
      <w:r w:rsidR="00385CA0">
        <w:rPr>
          <w:rFonts w:ascii="Arial" w:hAnsi="Arial" w:cs="Arial"/>
          <w:sz w:val="20"/>
          <w:szCs w:val="20"/>
        </w:rPr>
        <w:t xml:space="preserve"> dove</w:t>
      </w:r>
      <w:r w:rsidR="00CB1DB6">
        <w:rPr>
          <w:rFonts w:ascii="Arial" w:hAnsi="Arial" w:cs="Arial"/>
          <w:sz w:val="20"/>
          <w:szCs w:val="20"/>
        </w:rPr>
        <w:t xml:space="preserve"> </w:t>
      </w:r>
      <w:r w:rsidR="00385CA0">
        <w:rPr>
          <w:rFonts w:ascii="Arial" w:hAnsi="Arial" w:cs="Arial"/>
          <w:sz w:val="20"/>
          <w:szCs w:val="20"/>
        </w:rPr>
        <w:t>ciascun intervento può</w:t>
      </w:r>
      <w:r w:rsidR="00CB1DB6">
        <w:rPr>
          <w:rFonts w:ascii="Arial" w:hAnsi="Arial" w:cs="Arial"/>
          <w:sz w:val="20"/>
          <w:szCs w:val="20"/>
        </w:rPr>
        <w:t xml:space="preserve"> trovare coerenza in un più ampio e complessivo </w:t>
      </w:r>
      <w:r w:rsidR="00AA4A51" w:rsidRPr="00AA4A51">
        <w:rPr>
          <w:rFonts w:ascii="Arial" w:hAnsi="Arial" w:cs="Arial"/>
          <w:sz w:val="20"/>
          <w:szCs w:val="20"/>
        </w:rPr>
        <w:t>pro</w:t>
      </w:r>
      <w:r w:rsidR="00385CA0">
        <w:rPr>
          <w:rFonts w:ascii="Arial" w:hAnsi="Arial" w:cs="Arial"/>
          <w:sz w:val="20"/>
          <w:szCs w:val="20"/>
        </w:rPr>
        <w:t xml:space="preserve">getto unico di riqualificazione, </w:t>
      </w:r>
      <w:r w:rsidR="00AA4A51" w:rsidRPr="00AA4A51">
        <w:rPr>
          <w:rFonts w:ascii="Arial" w:hAnsi="Arial" w:cs="Arial"/>
          <w:sz w:val="20"/>
          <w:szCs w:val="20"/>
        </w:rPr>
        <w:t xml:space="preserve">che risolva, attraverso la </w:t>
      </w:r>
      <w:proofErr w:type="spellStart"/>
      <w:r w:rsidR="00AA4A51" w:rsidRPr="00AA4A51">
        <w:rPr>
          <w:rFonts w:ascii="Arial" w:hAnsi="Arial" w:cs="Arial"/>
          <w:sz w:val="20"/>
          <w:szCs w:val="20"/>
        </w:rPr>
        <w:t>rifunzionalizzazione</w:t>
      </w:r>
      <w:proofErr w:type="spellEnd"/>
      <w:r w:rsidR="00AA4A51" w:rsidRPr="00AA4A51">
        <w:rPr>
          <w:rFonts w:ascii="Arial" w:hAnsi="Arial" w:cs="Arial"/>
          <w:sz w:val="20"/>
          <w:szCs w:val="20"/>
        </w:rPr>
        <w:t xml:space="preserve"> dei volumi presenti, anche la questione non solo relativa al ripristino puntuale delle parti ammalorate, ma anche la conservazione nel tempo e la restituzione alla comunità dei luoghi e degli spazi fruibili.</w:t>
      </w:r>
    </w:p>
    <w:p w:rsidR="00AA4A51" w:rsidRPr="00AA4A51" w:rsidRDefault="00385CA0" w:rsidP="009C4682">
      <w:pPr>
        <w:jc w:val="both"/>
        <w:rPr>
          <w:rFonts w:ascii="Arial" w:hAnsi="Arial" w:cs="Arial"/>
          <w:sz w:val="20"/>
          <w:szCs w:val="20"/>
        </w:rPr>
      </w:pPr>
      <w:r>
        <w:rPr>
          <w:rFonts w:ascii="Arial" w:hAnsi="Arial" w:cs="Arial"/>
          <w:sz w:val="20"/>
          <w:szCs w:val="20"/>
        </w:rPr>
        <w:t xml:space="preserve">Il concetto del disegno unitario assume particolare rilievo. </w:t>
      </w:r>
      <w:r w:rsidR="00AA4A51" w:rsidRPr="00AA4A51">
        <w:rPr>
          <w:rFonts w:ascii="Arial" w:hAnsi="Arial" w:cs="Arial"/>
          <w:sz w:val="20"/>
          <w:szCs w:val="20"/>
        </w:rPr>
        <w:t>Si parla di tratti di mura fortificate e manufatti di grande valore storico e culturale</w:t>
      </w:r>
      <w:r w:rsidR="007B46E9">
        <w:rPr>
          <w:rFonts w:ascii="Arial" w:hAnsi="Arial" w:cs="Arial"/>
          <w:sz w:val="20"/>
          <w:szCs w:val="20"/>
        </w:rPr>
        <w:t xml:space="preserve">, </w:t>
      </w:r>
      <w:r w:rsidR="00AA4A51" w:rsidRPr="00AA4A51">
        <w:rPr>
          <w:rFonts w:ascii="Arial" w:hAnsi="Arial" w:cs="Arial"/>
          <w:sz w:val="20"/>
          <w:szCs w:val="20"/>
        </w:rPr>
        <w:t>che devono riacquisire una dignità, ma soprattutto una funzione per la città, ognuno facendo perno sulle proprie peculiari caratteristiche in termini fisico-volumetrici, posizionali e strategici in rel</w:t>
      </w:r>
      <w:r w:rsidR="001A0783">
        <w:rPr>
          <w:rFonts w:ascii="Arial" w:hAnsi="Arial" w:cs="Arial"/>
          <w:sz w:val="20"/>
          <w:szCs w:val="20"/>
        </w:rPr>
        <w:t>a</w:t>
      </w:r>
      <w:r w:rsidR="00AA4A51" w:rsidRPr="00AA4A51">
        <w:rPr>
          <w:rFonts w:ascii="Arial" w:hAnsi="Arial" w:cs="Arial"/>
          <w:sz w:val="20"/>
          <w:szCs w:val="20"/>
        </w:rPr>
        <w:t>zione al disegno di cambiamento che la città sta portando avanti.</w:t>
      </w:r>
    </w:p>
    <w:p w:rsidR="00AA4A51" w:rsidRPr="007B46E9" w:rsidRDefault="00302CE3" w:rsidP="007B46E9">
      <w:pPr>
        <w:jc w:val="both"/>
        <w:rPr>
          <w:rFonts w:ascii="Arial" w:hAnsi="Arial" w:cs="Arial"/>
          <w:color w:val="FF0000"/>
          <w:sz w:val="20"/>
          <w:szCs w:val="20"/>
        </w:rPr>
      </w:pPr>
      <w:r>
        <w:rPr>
          <w:rFonts w:ascii="Arial" w:hAnsi="Arial" w:cs="Arial"/>
          <w:noProof/>
          <w:sz w:val="20"/>
          <w:szCs w:val="20"/>
          <w:lang w:eastAsia="it-IT"/>
        </w:rPr>
        <w:drawing>
          <wp:anchor distT="0" distB="0" distL="114300" distR="114300" simplePos="0" relativeHeight="251689984" behindDoc="0" locked="0" layoutInCell="1" allowOverlap="1">
            <wp:simplePos x="0" y="0"/>
            <wp:positionH relativeFrom="margin">
              <wp:posOffset>4050665</wp:posOffset>
            </wp:positionH>
            <wp:positionV relativeFrom="margin">
              <wp:posOffset>2484120</wp:posOffset>
            </wp:positionV>
            <wp:extent cx="2056130" cy="1539240"/>
            <wp:effectExtent l="0" t="0" r="1270" b="3810"/>
            <wp:wrapSquare wrapText="bothSides"/>
            <wp:docPr id="3" name="Immagine 3" descr="Z:\00. PRIORITA'\01 EVENTI 2015\15_09_21 CONSULTAZIONE PUBBLICA PIACENZA\Testi e foto per sito\galleria foto\Porta del Socco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0. PRIORITA'\01 EVENTI 2015\15_09_21 CONSULTAZIONE PUBBLICA PIACENZA\Testi e foto per sito\galleria foto\Porta del Soccors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6130" cy="1539240"/>
                    </a:xfrm>
                    <a:prstGeom prst="rect">
                      <a:avLst/>
                    </a:prstGeom>
                    <a:noFill/>
                    <a:ln>
                      <a:noFill/>
                    </a:ln>
                  </pic:spPr>
                </pic:pic>
              </a:graphicData>
            </a:graphic>
          </wp:anchor>
        </w:drawing>
      </w:r>
      <w:r w:rsidRPr="00302CE3">
        <w:rPr>
          <w:rFonts w:ascii="Arial" w:hAnsi="Arial" w:cs="Arial"/>
          <w:sz w:val="20"/>
          <w:szCs w:val="20"/>
        </w:rPr>
        <w:t xml:space="preserve"> </w:t>
      </w:r>
      <w:r w:rsidR="00AA4A51" w:rsidRPr="00AA4A51">
        <w:rPr>
          <w:rFonts w:ascii="Arial" w:hAnsi="Arial" w:cs="Arial"/>
          <w:sz w:val="20"/>
          <w:szCs w:val="20"/>
        </w:rPr>
        <w:t>I punti cardine del sistema sono (seguendo un ordine posizionale da Porta Borghetto in senso orario osservando dal centro della città):</w:t>
      </w:r>
      <w:r w:rsidR="00385CA0">
        <w:rPr>
          <w:rFonts w:ascii="Arial" w:hAnsi="Arial" w:cs="Arial"/>
          <w:sz w:val="20"/>
          <w:szCs w:val="20"/>
        </w:rPr>
        <w:t xml:space="preserve"> </w:t>
      </w:r>
      <w:r w:rsidR="00AA4A51" w:rsidRPr="00AA4A51">
        <w:rPr>
          <w:rFonts w:ascii="Arial" w:hAnsi="Arial" w:cs="Arial"/>
          <w:sz w:val="20"/>
          <w:szCs w:val="20"/>
        </w:rPr>
        <w:t>Bastione e Porta Borghetto,</w:t>
      </w:r>
      <w:r w:rsidR="00385CA0">
        <w:rPr>
          <w:rFonts w:ascii="Arial" w:hAnsi="Arial" w:cs="Arial"/>
          <w:sz w:val="20"/>
          <w:szCs w:val="20"/>
        </w:rPr>
        <w:t xml:space="preserve"> </w:t>
      </w:r>
      <w:r w:rsidR="00AA4A51" w:rsidRPr="00AA4A51">
        <w:rPr>
          <w:rFonts w:ascii="Arial" w:hAnsi="Arial" w:cs="Arial"/>
          <w:sz w:val="20"/>
          <w:szCs w:val="20"/>
        </w:rPr>
        <w:t>Porta del Soccorso e Bastione S. Sisto,</w:t>
      </w:r>
      <w:r w:rsidR="00385CA0">
        <w:rPr>
          <w:rFonts w:ascii="Arial" w:hAnsi="Arial" w:cs="Arial"/>
          <w:sz w:val="20"/>
          <w:szCs w:val="20"/>
        </w:rPr>
        <w:t xml:space="preserve"> </w:t>
      </w:r>
      <w:r w:rsidR="00AA4A51" w:rsidRPr="00AA4A51">
        <w:rPr>
          <w:rFonts w:ascii="Arial" w:hAnsi="Arial" w:cs="Arial"/>
          <w:sz w:val="20"/>
          <w:szCs w:val="20"/>
        </w:rPr>
        <w:t xml:space="preserve">Torrione </w:t>
      </w:r>
      <w:proofErr w:type="spellStart"/>
      <w:r w:rsidR="00AA4A51" w:rsidRPr="00AA4A51">
        <w:rPr>
          <w:rFonts w:ascii="Arial" w:hAnsi="Arial" w:cs="Arial"/>
          <w:sz w:val="20"/>
          <w:szCs w:val="20"/>
        </w:rPr>
        <w:t>Fodesta</w:t>
      </w:r>
      <w:proofErr w:type="spellEnd"/>
      <w:r w:rsidR="00AA4A51" w:rsidRPr="00AA4A51">
        <w:rPr>
          <w:rFonts w:ascii="Arial" w:hAnsi="Arial" w:cs="Arial"/>
          <w:sz w:val="20"/>
          <w:szCs w:val="20"/>
        </w:rPr>
        <w:t>,</w:t>
      </w:r>
      <w:r w:rsidR="00385CA0">
        <w:rPr>
          <w:rFonts w:ascii="Arial" w:hAnsi="Arial" w:cs="Arial"/>
          <w:sz w:val="20"/>
          <w:szCs w:val="20"/>
        </w:rPr>
        <w:t xml:space="preserve"> </w:t>
      </w:r>
      <w:r w:rsidR="00AA4A51" w:rsidRPr="00AA4A51">
        <w:rPr>
          <w:rFonts w:ascii="Arial" w:hAnsi="Arial" w:cs="Arial"/>
          <w:sz w:val="20"/>
          <w:szCs w:val="20"/>
        </w:rPr>
        <w:t xml:space="preserve">ex Rimessa </w:t>
      </w:r>
      <w:r w:rsidR="007B46E9">
        <w:rPr>
          <w:rFonts w:ascii="Arial" w:hAnsi="Arial" w:cs="Arial"/>
          <w:sz w:val="20"/>
          <w:szCs w:val="20"/>
        </w:rPr>
        <w:t>L</w:t>
      </w:r>
      <w:r>
        <w:rPr>
          <w:rFonts w:ascii="Arial" w:hAnsi="Arial" w:cs="Arial"/>
          <w:sz w:val="20"/>
          <w:szCs w:val="20"/>
        </w:rPr>
        <w:t xml:space="preserve">ocomotori detta anche </w:t>
      </w:r>
      <w:proofErr w:type="spellStart"/>
      <w:r>
        <w:rPr>
          <w:rFonts w:ascii="Arial" w:hAnsi="Arial" w:cs="Arial"/>
          <w:sz w:val="20"/>
          <w:szCs w:val="20"/>
        </w:rPr>
        <w:t>Berzolla</w:t>
      </w:r>
      <w:proofErr w:type="spellEnd"/>
      <w:r>
        <w:rPr>
          <w:rFonts w:ascii="Arial" w:hAnsi="Arial" w:cs="Arial"/>
          <w:sz w:val="20"/>
          <w:szCs w:val="20"/>
        </w:rPr>
        <w:t>.</w:t>
      </w:r>
    </w:p>
    <w:p w:rsidR="001A0783" w:rsidRPr="001A0783" w:rsidRDefault="00AA4A51" w:rsidP="00302CE3">
      <w:pPr>
        <w:jc w:val="both"/>
        <w:rPr>
          <w:noProof/>
          <w:lang w:eastAsia="it-IT"/>
        </w:rPr>
      </w:pPr>
      <w:r w:rsidRPr="00AA4A51">
        <w:rPr>
          <w:rFonts w:ascii="Arial" w:hAnsi="Arial" w:cs="Arial"/>
          <w:sz w:val="20"/>
          <w:szCs w:val="20"/>
        </w:rPr>
        <w:t xml:space="preserve">Il Bastione S. Agostino ed il Bastione </w:t>
      </w:r>
      <w:proofErr w:type="spellStart"/>
      <w:r w:rsidRPr="00AA4A51">
        <w:rPr>
          <w:rFonts w:ascii="Arial" w:hAnsi="Arial" w:cs="Arial"/>
          <w:sz w:val="20"/>
          <w:szCs w:val="20"/>
        </w:rPr>
        <w:t>Corneliana</w:t>
      </w:r>
      <w:proofErr w:type="spellEnd"/>
      <w:r w:rsidRPr="00AA4A51">
        <w:rPr>
          <w:rFonts w:ascii="Arial" w:hAnsi="Arial" w:cs="Arial"/>
          <w:sz w:val="20"/>
          <w:szCs w:val="20"/>
        </w:rPr>
        <w:t xml:space="preserve">, similmente al Bastione Campagna, </w:t>
      </w:r>
      <w:r w:rsidR="00385CA0">
        <w:rPr>
          <w:rFonts w:ascii="Arial" w:hAnsi="Arial" w:cs="Arial"/>
          <w:sz w:val="20"/>
          <w:szCs w:val="20"/>
        </w:rPr>
        <w:t xml:space="preserve">di proprietà comunale, </w:t>
      </w:r>
      <w:r w:rsidRPr="00AA4A51">
        <w:rPr>
          <w:rFonts w:ascii="Arial" w:hAnsi="Arial" w:cs="Arial"/>
          <w:sz w:val="20"/>
          <w:szCs w:val="20"/>
        </w:rPr>
        <w:t>costituiscono aree verdi, in parte già attrezzate per la fruizione cittadina. Essi verranno trattati in un capitolo unico</w:t>
      </w:r>
      <w:r w:rsidR="00385CA0">
        <w:rPr>
          <w:rFonts w:ascii="Arial" w:hAnsi="Arial" w:cs="Arial"/>
          <w:sz w:val="20"/>
          <w:szCs w:val="20"/>
        </w:rPr>
        <w:t xml:space="preserve">, </w:t>
      </w:r>
      <w:r w:rsidRPr="00AA4A51">
        <w:rPr>
          <w:rFonts w:ascii="Arial" w:hAnsi="Arial" w:cs="Arial"/>
          <w:sz w:val="20"/>
          <w:szCs w:val="20"/>
        </w:rPr>
        <w:t>dedicato alle aree verdi attrezzate</w:t>
      </w:r>
      <w:r w:rsidR="00C11FC1">
        <w:rPr>
          <w:rFonts w:ascii="Arial" w:hAnsi="Arial" w:cs="Arial"/>
          <w:sz w:val="20"/>
          <w:szCs w:val="20"/>
        </w:rPr>
        <w:t>.</w:t>
      </w:r>
      <w:r w:rsidRPr="00AA4A51">
        <w:rPr>
          <w:rFonts w:ascii="Arial" w:hAnsi="Arial" w:cs="Arial"/>
          <w:sz w:val="20"/>
          <w:szCs w:val="20"/>
        </w:rPr>
        <w:t xml:space="preserve"> Il complesso murario è completato a sud-est, oltre il Bastione S. Agostino, dal Vallo e da quanto resta del Castello Farnesiano, emergenze inglobate nel Polo di Mantenimento Pesante Nord, attualmente </w:t>
      </w:r>
      <w:r w:rsidR="00385CA0">
        <w:rPr>
          <w:rFonts w:ascii="Arial" w:hAnsi="Arial" w:cs="Arial"/>
          <w:sz w:val="20"/>
          <w:szCs w:val="20"/>
        </w:rPr>
        <w:t xml:space="preserve">in uso </w:t>
      </w:r>
      <w:r w:rsidRPr="00AA4A51">
        <w:rPr>
          <w:rFonts w:ascii="Arial" w:hAnsi="Arial" w:cs="Arial"/>
          <w:sz w:val="20"/>
          <w:szCs w:val="20"/>
        </w:rPr>
        <w:t xml:space="preserve">al Ministero della Difesa, con cui il </w:t>
      </w:r>
      <w:r w:rsidR="00385CA0">
        <w:rPr>
          <w:rFonts w:ascii="Arial" w:hAnsi="Arial" w:cs="Arial"/>
          <w:sz w:val="20"/>
          <w:szCs w:val="20"/>
        </w:rPr>
        <w:t>l’Amministrazione comunale</w:t>
      </w:r>
      <w:r w:rsidRPr="00AA4A51">
        <w:rPr>
          <w:rFonts w:ascii="Arial" w:hAnsi="Arial" w:cs="Arial"/>
          <w:sz w:val="20"/>
          <w:szCs w:val="20"/>
        </w:rPr>
        <w:t xml:space="preserve"> ha aperto un tavolo di confronto per la razionalizzazione degli spazi in uso </w:t>
      </w:r>
      <w:r w:rsidR="00385CA0">
        <w:rPr>
          <w:rFonts w:ascii="Arial" w:hAnsi="Arial" w:cs="Arial"/>
          <w:sz w:val="20"/>
          <w:szCs w:val="20"/>
        </w:rPr>
        <w:t xml:space="preserve">a quel Dicastero </w:t>
      </w:r>
      <w:r w:rsidRPr="00AA4A51">
        <w:rPr>
          <w:rFonts w:ascii="Arial" w:hAnsi="Arial" w:cs="Arial"/>
          <w:sz w:val="20"/>
          <w:szCs w:val="20"/>
        </w:rPr>
        <w:t>e per stabilire le modalità di restituzione alla cittadinanza di diversi beni.</w:t>
      </w:r>
    </w:p>
    <w:p w:rsidR="00302CE3" w:rsidRPr="00302CE3" w:rsidRDefault="00302CE3" w:rsidP="00302CE3">
      <w:pPr>
        <w:jc w:val="both"/>
      </w:pPr>
      <w:r w:rsidRPr="00302CE3">
        <w:rPr>
          <w:rFonts w:ascii="Arial" w:hAnsi="Arial" w:cs="Arial"/>
          <w:sz w:val="20"/>
          <w:szCs w:val="20"/>
        </w:rPr>
        <w:t xml:space="preserve">Nell’ambito di tale sistema, assume particolare rilievo </w:t>
      </w:r>
      <w:r w:rsidRPr="00302CE3">
        <w:rPr>
          <w:rFonts w:ascii="Arial" w:hAnsi="Arial" w:cs="Arial"/>
          <w:noProof/>
          <w:sz w:val="20"/>
          <w:szCs w:val="20"/>
          <w:lang w:eastAsia="it-IT"/>
        </w:rPr>
        <w:drawing>
          <wp:anchor distT="0" distB="0" distL="114300" distR="114300" simplePos="0" relativeHeight="251692032" behindDoc="0" locked="0" layoutInCell="1" allowOverlap="1" wp14:anchorId="22579317" wp14:editId="14B2A51C">
            <wp:simplePos x="0" y="0"/>
            <wp:positionH relativeFrom="column">
              <wp:posOffset>21590</wp:posOffset>
            </wp:positionH>
            <wp:positionV relativeFrom="paragraph">
              <wp:posOffset>24130</wp:posOffset>
            </wp:positionV>
            <wp:extent cx="2252345" cy="1285240"/>
            <wp:effectExtent l="0" t="0" r="0" b="0"/>
            <wp:wrapSquare wrapText="bothSides"/>
            <wp:docPr id="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2345" cy="1285240"/>
                    </a:xfrm>
                    <a:prstGeom prst="rect">
                      <a:avLst/>
                    </a:prstGeom>
                    <a:noFill/>
                    <a:ln w="19050">
                      <a:noFill/>
                      <a:miter lim="800000"/>
                      <a:headEnd/>
                      <a:tailEnd/>
                    </a:ln>
                  </pic:spPr>
                </pic:pic>
              </a:graphicData>
            </a:graphic>
            <wp14:sizeRelH relativeFrom="page">
              <wp14:pctWidth>0</wp14:pctWidth>
            </wp14:sizeRelH>
            <wp14:sizeRelV relativeFrom="page">
              <wp14:pctHeight>0</wp14:pctHeight>
            </wp14:sizeRelV>
          </wp:anchor>
        </w:drawing>
      </w:r>
      <w:r w:rsidRPr="00302CE3">
        <w:rPr>
          <w:rFonts w:ascii="Arial" w:hAnsi="Arial" w:cs="Arial"/>
          <w:sz w:val="20"/>
          <w:szCs w:val="20"/>
        </w:rPr>
        <w:t>l</w:t>
      </w:r>
      <w:r w:rsidRPr="00385CA0">
        <w:rPr>
          <w:rFonts w:ascii="Arial" w:hAnsi="Arial" w:cs="Arial"/>
          <w:sz w:val="20"/>
          <w:szCs w:val="20"/>
        </w:rPr>
        <w:t xml:space="preserve">'ex </w:t>
      </w:r>
      <w:r w:rsidRPr="00302CE3">
        <w:rPr>
          <w:rFonts w:ascii="Arial" w:hAnsi="Arial" w:cs="Arial"/>
          <w:sz w:val="20"/>
          <w:szCs w:val="20"/>
        </w:rPr>
        <w:t xml:space="preserve">deposito o rimessa dei locomotori venne </w:t>
      </w:r>
      <w:r w:rsidRPr="00385CA0">
        <w:rPr>
          <w:rFonts w:ascii="Arial" w:hAnsi="Arial" w:cs="Arial"/>
          <w:sz w:val="20"/>
          <w:szCs w:val="20"/>
        </w:rPr>
        <w:t xml:space="preserve">progettato dall’architetto </w:t>
      </w:r>
      <w:r w:rsidRPr="00302CE3">
        <w:rPr>
          <w:rFonts w:ascii="Arial" w:hAnsi="Arial" w:cs="Arial"/>
          <w:sz w:val="20"/>
          <w:szCs w:val="20"/>
        </w:rPr>
        <w:t xml:space="preserve">Pietro </w:t>
      </w:r>
      <w:proofErr w:type="spellStart"/>
      <w:r w:rsidRPr="00302CE3">
        <w:rPr>
          <w:rFonts w:ascii="Arial" w:hAnsi="Arial" w:cs="Arial"/>
          <w:sz w:val="20"/>
          <w:szCs w:val="20"/>
        </w:rPr>
        <w:t>Berzolla</w:t>
      </w:r>
      <w:proofErr w:type="spellEnd"/>
      <w:r w:rsidRPr="00385CA0">
        <w:rPr>
          <w:rFonts w:ascii="Arial" w:hAnsi="Arial" w:cs="Arial"/>
          <w:sz w:val="20"/>
          <w:szCs w:val="20"/>
        </w:rPr>
        <w:t>, figura tra le più rappresentative dell’architettura moderna piacentina, e autore, già</w:t>
      </w:r>
      <w:r w:rsidRPr="008437D9">
        <w:rPr>
          <w:rFonts w:ascii="Arial" w:hAnsi="Arial" w:cs="Arial"/>
          <w:sz w:val="20"/>
          <w:szCs w:val="20"/>
        </w:rPr>
        <w:t xml:space="preserve"> dagli anni '20, di numerosi interventi urbanistici nel Piacentino e fuori, nei quali aveva messo a frutto la conoscenza delle nuove tecnologie e tipologie, acquisita nei frequenti viaggi di aggiornamento e studio nel Nord Europa. </w:t>
      </w:r>
    </w:p>
    <w:p w:rsidR="00302CE3" w:rsidRPr="00113662" w:rsidRDefault="00302CE3" w:rsidP="00302CE3">
      <w:pPr>
        <w:spacing w:after="0"/>
        <w:jc w:val="both"/>
        <w:rPr>
          <w:rFonts w:ascii="Arial" w:hAnsi="Arial" w:cs="Arial"/>
          <w:sz w:val="20"/>
          <w:szCs w:val="20"/>
        </w:rPr>
      </w:pPr>
      <w:r w:rsidRPr="00113662">
        <w:rPr>
          <w:rFonts w:ascii="Arial" w:hAnsi="Arial" w:cs="Arial"/>
          <w:sz w:val="20"/>
          <w:szCs w:val="20"/>
        </w:rPr>
        <w:t>L'</w:t>
      </w:r>
      <w:r w:rsidRPr="00113662">
        <w:rPr>
          <w:rFonts w:ascii="Arial" w:hAnsi="Arial" w:cs="Arial"/>
          <w:bCs/>
          <w:sz w:val="20"/>
          <w:szCs w:val="20"/>
        </w:rPr>
        <w:t>ex Deposito dei Locomotori “</w:t>
      </w:r>
      <w:proofErr w:type="spellStart"/>
      <w:r w:rsidRPr="00113662">
        <w:rPr>
          <w:rFonts w:ascii="Arial" w:hAnsi="Arial" w:cs="Arial"/>
          <w:bCs/>
          <w:sz w:val="20"/>
          <w:szCs w:val="20"/>
        </w:rPr>
        <w:t>Berzolla</w:t>
      </w:r>
      <w:proofErr w:type="spellEnd"/>
      <w:r w:rsidRPr="00113662">
        <w:rPr>
          <w:rFonts w:ascii="Arial" w:hAnsi="Arial" w:cs="Arial"/>
          <w:sz w:val="20"/>
          <w:szCs w:val="20"/>
        </w:rPr>
        <w:t>” costituisce un importante esempio di archeologia industriale della soppressa linea ferroviaria Piacenza-Bettola ed è stata per svariati decenni un'importante infrastruttura di servizio ferroviario per la sosta e la manutenzione delle motrici.</w:t>
      </w:r>
    </w:p>
    <w:p w:rsidR="00302CE3" w:rsidRPr="00113662" w:rsidRDefault="00302CE3" w:rsidP="00302CE3">
      <w:pPr>
        <w:spacing w:after="0"/>
        <w:jc w:val="both"/>
        <w:rPr>
          <w:rFonts w:ascii="Arial" w:hAnsi="Arial" w:cs="Arial"/>
          <w:sz w:val="20"/>
          <w:szCs w:val="20"/>
        </w:rPr>
      </w:pPr>
      <w:r w:rsidRPr="00113662">
        <w:rPr>
          <w:rFonts w:ascii="Arial" w:hAnsi="Arial" w:cs="Arial"/>
          <w:sz w:val="20"/>
          <w:szCs w:val="20"/>
        </w:rPr>
        <w:t xml:space="preserve">L'edificio, in </w:t>
      </w:r>
      <w:r w:rsidRPr="00113662">
        <w:rPr>
          <w:rFonts w:ascii="Arial" w:hAnsi="Arial" w:cs="Arial"/>
          <w:bCs/>
          <w:sz w:val="20"/>
          <w:szCs w:val="20"/>
        </w:rPr>
        <w:t xml:space="preserve">mattoni a vista, </w:t>
      </w:r>
      <w:r w:rsidRPr="00113662">
        <w:rPr>
          <w:rFonts w:ascii="Arial" w:hAnsi="Arial" w:cs="Arial"/>
          <w:sz w:val="20"/>
          <w:szCs w:val="20"/>
        </w:rPr>
        <w:t>è costituito da un alto corpo centrale e da due fabbricati laterali di minore altezza che si sviluppano tutti su un unico livello.</w:t>
      </w:r>
    </w:p>
    <w:p w:rsidR="00302CE3" w:rsidRPr="00113662" w:rsidRDefault="00302CE3" w:rsidP="00302CE3">
      <w:pPr>
        <w:spacing w:after="0"/>
        <w:jc w:val="both"/>
        <w:rPr>
          <w:rFonts w:ascii="Arial" w:hAnsi="Arial" w:cs="Arial"/>
          <w:sz w:val="20"/>
          <w:szCs w:val="20"/>
        </w:rPr>
      </w:pPr>
      <w:r w:rsidRPr="00113662">
        <w:rPr>
          <w:rFonts w:ascii="Arial" w:hAnsi="Arial" w:cs="Arial"/>
          <w:sz w:val="20"/>
          <w:szCs w:val="20"/>
        </w:rPr>
        <w:t xml:space="preserve">La </w:t>
      </w:r>
      <w:r w:rsidRPr="00113662">
        <w:rPr>
          <w:rFonts w:ascii="Arial" w:hAnsi="Arial" w:cs="Arial"/>
          <w:bCs/>
          <w:sz w:val="20"/>
          <w:szCs w:val="20"/>
        </w:rPr>
        <w:t xml:space="preserve">facciata “a capanna” </w:t>
      </w:r>
      <w:r w:rsidRPr="00113662">
        <w:rPr>
          <w:rFonts w:ascii="Arial" w:hAnsi="Arial" w:cs="Arial"/>
          <w:sz w:val="20"/>
          <w:szCs w:val="20"/>
        </w:rPr>
        <w:t>del corpo centrale presenta l'accostamento di due moduli identici con ampie aperture d'accesso per i locomotori, architravate e sormontate ciascuna da un finestrone centinato (</w:t>
      </w:r>
      <w:r w:rsidRPr="00113662">
        <w:rPr>
          <w:rFonts w:ascii="Arial" w:hAnsi="Arial" w:cs="Arial"/>
          <w:i/>
          <w:sz w:val="20"/>
          <w:szCs w:val="20"/>
        </w:rPr>
        <w:t>ad arco</w:t>
      </w:r>
      <w:r w:rsidRPr="00113662">
        <w:rPr>
          <w:rFonts w:ascii="Arial" w:hAnsi="Arial" w:cs="Arial"/>
          <w:sz w:val="20"/>
          <w:szCs w:val="20"/>
        </w:rPr>
        <w:t xml:space="preserve">). L’elemento verticale centrale che funge da asse di simmetria è costituito da </w:t>
      </w:r>
      <w:r w:rsidRPr="00113662">
        <w:rPr>
          <w:rFonts w:ascii="Arial" w:hAnsi="Arial" w:cs="Arial"/>
          <w:bCs/>
          <w:sz w:val="20"/>
          <w:szCs w:val="20"/>
        </w:rPr>
        <w:t xml:space="preserve">lesene </w:t>
      </w:r>
      <w:r w:rsidRPr="00113662">
        <w:rPr>
          <w:rFonts w:ascii="Arial" w:hAnsi="Arial" w:cs="Arial"/>
          <w:sz w:val="20"/>
          <w:szCs w:val="20"/>
        </w:rPr>
        <w:t xml:space="preserve">sovrapposte, variamente aggettanti, come quelle laterali. Ogni modulo è concluso da un </w:t>
      </w:r>
      <w:r w:rsidRPr="00113662">
        <w:rPr>
          <w:rFonts w:ascii="Arial" w:hAnsi="Arial" w:cs="Arial"/>
          <w:bCs/>
          <w:sz w:val="20"/>
          <w:szCs w:val="20"/>
        </w:rPr>
        <w:t xml:space="preserve">cornicione a gradoni di derivazione nordica, intonacato, </w:t>
      </w:r>
      <w:r w:rsidRPr="00113662">
        <w:rPr>
          <w:rFonts w:ascii="Arial" w:hAnsi="Arial" w:cs="Arial"/>
          <w:sz w:val="20"/>
          <w:szCs w:val="20"/>
        </w:rPr>
        <w:t>che produce uno stacco cromatico rispetto al restante paramento in laterizio di diversa tonalità, di sapore sempre nordico.</w:t>
      </w:r>
    </w:p>
    <w:p w:rsidR="00302CE3" w:rsidRPr="0066096D" w:rsidRDefault="00302CE3" w:rsidP="00302CE3">
      <w:pPr>
        <w:spacing w:after="0"/>
        <w:jc w:val="both"/>
        <w:rPr>
          <w:rFonts w:ascii="Arial" w:hAnsi="Arial" w:cs="Arial"/>
          <w:sz w:val="20"/>
          <w:szCs w:val="20"/>
        </w:rPr>
      </w:pPr>
      <w:r w:rsidRPr="008437D9">
        <w:rPr>
          <w:rFonts w:ascii="Arial" w:hAnsi="Arial" w:cs="Arial"/>
          <w:sz w:val="20"/>
          <w:szCs w:val="20"/>
        </w:rPr>
        <w:lastRenderedPageBreak/>
        <w:t>In particolare sul fianco nord viene ripresa la modularità della facciata e il suo stesso motivo decorativo a gradoni.</w:t>
      </w:r>
      <w:r w:rsidRPr="008437D9">
        <w:rPr>
          <w:rFonts w:ascii="Arial" w:hAnsi="Arial" w:cs="Arial"/>
          <w:color w:val="C00000"/>
          <w:sz w:val="20"/>
          <w:szCs w:val="20"/>
        </w:rPr>
        <w:t xml:space="preserve"> </w:t>
      </w:r>
      <w:r w:rsidRPr="008437D9">
        <w:rPr>
          <w:rFonts w:ascii="Arial" w:hAnsi="Arial" w:cs="Arial"/>
          <w:sz w:val="20"/>
          <w:szCs w:val="20"/>
        </w:rPr>
        <w:t xml:space="preserve">Un tempo erano presenti ampie aperture a terra, per il transito dei Locomotori, che ora risultano tamponate. All’interno, il corpo centrale presenta un unico grande ambiente con tetto a capanna a doppia falda sfalsata, sostenuto da capriate in ferro. </w:t>
      </w:r>
      <w:r>
        <w:rPr>
          <w:rFonts w:ascii="Arial" w:hAnsi="Arial" w:cs="Arial"/>
          <w:noProof/>
          <w:sz w:val="20"/>
          <w:szCs w:val="20"/>
          <w:lang w:eastAsia="it-IT"/>
        </w:rPr>
        <w:drawing>
          <wp:anchor distT="0" distB="0" distL="114300" distR="114300" simplePos="0" relativeHeight="251693056" behindDoc="0" locked="0" layoutInCell="1" allowOverlap="1" wp14:anchorId="4FA511F4" wp14:editId="0AAE8FFE">
            <wp:simplePos x="0" y="0"/>
            <wp:positionH relativeFrom="column">
              <wp:posOffset>89535</wp:posOffset>
            </wp:positionH>
            <wp:positionV relativeFrom="paragraph">
              <wp:posOffset>160020</wp:posOffset>
            </wp:positionV>
            <wp:extent cx="2619375" cy="1964690"/>
            <wp:effectExtent l="0" t="0" r="9525"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 locomotor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9375" cy="1964690"/>
                    </a:xfrm>
                    <a:prstGeom prst="rect">
                      <a:avLst/>
                    </a:prstGeom>
                  </pic:spPr>
                </pic:pic>
              </a:graphicData>
            </a:graphic>
            <wp14:sizeRelH relativeFrom="page">
              <wp14:pctWidth>0</wp14:pctWidth>
            </wp14:sizeRelH>
            <wp14:sizeRelV relativeFrom="page">
              <wp14:pctHeight>0</wp14:pctHeight>
            </wp14:sizeRelV>
          </wp:anchor>
        </w:drawing>
      </w:r>
      <w:r w:rsidRPr="008437D9">
        <w:rPr>
          <w:rFonts w:ascii="Arial" w:hAnsi="Arial" w:cs="Arial"/>
          <w:sz w:val="20"/>
          <w:szCs w:val="20"/>
        </w:rPr>
        <w:t xml:space="preserve">Al centro di uno spazio ottagonale alla sommità della facciata era presente il logo SIFT ora scomparso.  </w:t>
      </w:r>
    </w:p>
    <w:p w:rsidR="00302CE3" w:rsidRPr="008437D9" w:rsidRDefault="00302CE3" w:rsidP="00302CE3">
      <w:pPr>
        <w:spacing w:after="0"/>
        <w:jc w:val="both"/>
        <w:rPr>
          <w:rFonts w:ascii="Arial" w:hAnsi="Arial" w:cs="Arial"/>
          <w:sz w:val="20"/>
          <w:szCs w:val="20"/>
        </w:rPr>
      </w:pPr>
      <w:r w:rsidRPr="008437D9">
        <w:rPr>
          <w:rFonts w:ascii="Arial" w:hAnsi="Arial" w:cs="Arial"/>
          <w:sz w:val="20"/>
          <w:szCs w:val="20"/>
        </w:rPr>
        <w:t xml:space="preserve">Il corpo laterale di sinistra è caratterizzato da elementi propri dell'”architettura dei metalli” del tempo. Si tratta delle sottili colonnine in ghisa, a sostegno della copertura esterna del portico. </w:t>
      </w:r>
    </w:p>
    <w:p w:rsidR="00302CE3" w:rsidRPr="008437D9" w:rsidRDefault="00302CE3" w:rsidP="00302CE3">
      <w:pPr>
        <w:spacing w:after="0"/>
        <w:jc w:val="both"/>
        <w:rPr>
          <w:rFonts w:ascii="Arial" w:hAnsi="Arial" w:cs="Arial"/>
          <w:sz w:val="20"/>
          <w:szCs w:val="20"/>
        </w:rPr>
      </w:pPr>
      <w:r w:rsidRPr="008437D9">
        <w:rPr>
          <w:rFonts w:ascii="Arial" w:hAnsi="Arial" w:cs="Arial"/>
          <w:sz w:val="20"/>
          <w:szCs w:val="20"/>
        </w:rPr>
        <w:t>Il Deposito dei locomotori, o padiglione “</w:t>
      </w:r>
      <w:proofErr w:type="spellStart"/>
      <w:r w:rsidRPr="008437D9">
        <w:rPr>
          <w:rFonts w:ascii="Arial" w:hAnsi="Arial" w:cs="Arial"/>
          <w:sz w:val="20"/>
          <w:szCs w:val="20"/>
        </w:rPr>
        <w:t>Berzolla</w:t>
      </w:r>
      <w:proofErr w:type="spellEnd"/>
      <w:r w:rsidRPr="008437D9">
        <w:rPr>
          <w:rFonts w:ascii="Arial" w:hAnsi="Arial" w:cs="Arial"/>
          <w:sz w:val="20"/>
          <w:szCs w:val="20"/>
        </w:rPr>
        <w:t xml:space="preserve"> o anche “Duomo” per la sua monumentalità e per l'uso del mattone a vista, rientra nella categoria </w:t>
      </w:r>
      <w:r w:rsidRPr="008437D9">
        <w:rPr>
          <w:rFonts w:ascii="Arial" w:hAnsi="Arial" w:cs="Arial"/>
          <w:i/>
          <w:sz w:val="20"/>
          <w:szCs w:val="20"/>
        </w:rPr>
        <w:t>dell'Officina-Cattedrale</w:t>
      </w:r>
      <w:r w:rsidRPr="008437D9">
        <w:rPr>
          <w:rFonts w:ascii="Arial" w:hAnsi="Arial" w:cs="Arial"/>
          <w:sz w:val="20"/>
          <w:szCs w:val="20"/>
        </w:rPr>
        <w:t xml:space="preserve">, fa parte cioè di quegli impianti e stabilimenti del tempo che, oltre a produrre, svolgevano anche una funzione autocelebrativa dell'industria stessa. La loro architettura diventava infatti un importante strumento di immagine per cui spesso erano sovradimensionate, formalmente assai curate, talvolta progettate da architetti che si adeguavano alle forme dello stile via via più in voga. </w:t>
      </w:r>
      <w:r>
        <w:rPr>
          <w:rFonts w:ascii="Arial" w:hAnsi="Arial" w:cs="Arial"/>
          <w:sz w:val="20"/>
          <w:szCs w:val="20"/>
        </w:rPr>
        <w:t xml:space="preserve">È </w:t>
      </w:r>
      <w:r w:rsidRPr="008437D9">
        <w:rPr>
          <w:rFonts w:ascii="Arial" w:hAnsi="Arial" w:cs="Arial"/>
          <w:sz w:val="20"/>
          <w:szCs w:val="20"/>
        </w:rPr>
        <w:t xml:space="preserve">soprattutto in due ambiti industriali precisi che ci si imbatte prevalentemente in questo tipo di costruzioni, quello ferroviario e quello della produzione dell'energia elettrica. La stazione, in questo periodo, ha soprattutto un grande valore di rappresentanza poiché è il primo segno che si avverte della città industriale che, intendendo però affermare la propria cultura nazionale, recupera gli stili neoromanico e neorinascimentale in Italia e neogotico nel nord Europa. </w:t>
      </w:r>
    </w:p>
    <w:p w:rsidR="00302CE3" w:rsidRDefault="00302CE3" w:rsidP="00302CE3">
      <w:pPr>
        <w:spacing w:after="0"/>
        <w:jc w:val="both"/>
        <w:rPr>
          <w:rFonts w:ascii="Arial" w:hAnsi="Arial" w:cs="Arial"/>
          <w:sz w:val="20"/>
          <w:szCs w:val="20"/>
        </w:rPr>
      </w:pPr>
      <w:r w:rsidRPr="008437D9">
        <w:rPr>
          <w:rFonts w:ascii="Arial" w:hAnsi="Arial" w:cs="Arial"/>
          <w:sz w:val="20"/>
          <w:szCs w:val="20"/>
        </w:rPr>
        <w:t>L'ex Deposito Dei Locomotori, proprio per il suo interesse storico-artistico ed architettonico è stato sottoposto a vincolo nel 1996 dal Ministero per i Beni Culturali e Ambientali, su proposta della sede di Piacenza di Italia Nostra. Negli anni Ottanta, è stato adibito a capolinea delle corriere, ma in seguito è stato dismesso. Recentemente il piazzale di circa 6 mila mq antistante il nucleo storico è stato ceduto, a titolo gratuito, ai sensi del c.d. “federalismo demaniale” dall’Agenzia del Demanio al Comune di Piacenza ed è compreso in una vasta area, che include anche Borgo</w:t>
      </w:r>
      <w:r>
        <w:rPr>
          <w:rFonts w:ascii="Arial" w:hAnsi="Arial" w:cs="Arial"/>
          <w:sz w:val="20"/>
          <w:szCs w:val="20"/>
        </w:rPr>
        <w:t xml:space="preserve"> </w:t>
      </w:r>
      <w:proofErr w:type="spellStart"/>
      <w:r w:rsidRPr="008437D9">
        <w:rPr>
          <w:rFonts w:ascii="Arial" w:hAnsi="Arial" w:cs="Arial"/>
          <w:sz w:val="20"/>
          <w:szCs w:val="20"/>
        </w:rPr>
        <w:t>faxall</w:t>
      </w:r>
      <w:proofErr w:type="spellEnd"/>
      <w:r w:rsidRPr="008437D9">
        <w:rPr>
          <w:rFonts w:ascii="Arial" w:hAnsi="Arial" w:cs="Arial"/>
          <w:sz w:val="20"/>
          <w:szCs w:val="20"/>
        </w:rPr>
        <w:t xml:space="preserve">, l'ex Piano Caricatore militare e l'ex Mercato Ortofrutticolo, da tempo al centro dell’attenzione dell'amministrazione comunale cittadina per la sua riqualificazione e </w:t>
      </w:r>
      <w:proofErr w:type="spellStart"/>
      <w:r w:rsidRPr="008437D9">
        <w:rPr>
          <w:rFonts w:ascii="Arial" w:hAnsi="Arial" w:cs="Arial"/>
          <w:sz w:val="20"/>
          <w:szCs w:val="20"/>
        </w:rPr>
        <w:t>rifunzionalizzazione</w:t>
      </w:r>
      <w:proofErr w:type="spellEnd"/>
      <w:r w:rsidR="000D71A8">
        <w:rPr>
          <w:rFonts w:ascii="Arial" w:hAnsi="Arial" w:cs="Arial"/>
          <w:sz w:val="20"/>
          <w:szCs w:val="20"/>
        </w:rPr>
        <w:t>.</w:t>
      </w:r>
    </w:p>
    <w:p w:rsidR="000D71A8" w:rsidRDefault="000D71A8" w:rsidP="00302CE3">
      <w:pPr>
        <w:spacing w:after="0"/>
        <w:jc w:val="both"/>
        <w:rPr>
          <w:rFonts w:ascii="Arial" w:hAnsi="Arial" w:cs="Arial"/>
          <w:sz w:val="20"/>
          <w:szCs w:val="20"/>
        </w:rPr>
      </w:pPr>
    </w:p>
    <w:p w:rsidR="000D71A8" w:rsidRDefault="000D71A8" w:rsidP="000D71A8">
      <w:pPr>
        <w:jc w:val="both"/>
        <w:rPr>
          <w:b/>
          <w:color w:val="C00000"/>
          <w:sz w:val="28"/>
          <w:szCs w:val="28"/>
        </w:rPr>
      </w:pPr>
      <w:r w:rsidRPr="00302CE3">
        <w:rPr>
          <w:b/>
          <w:color w:val="C00000"/>
          <w:sz w:val="28"/>
          <w:szCs w:val="28"/>
        </w:rPr>
        <w:t xml:space="preserve">AREA VERDE DI PIAZZALE MALTA, GIÀ EX CASERMA ZANARDI-PORZIONE </w:t>
      </w:r>
    </w:p>
    <w:p w:rsidR="000D71A8" w:rsidRPr="00A96A5B" w:rsidRDefault="000D71A8" w:rsidP="0014415E">
      <w:pPr>
        <w:spacing w:after="0"/>
        <w:jc w:val="both"/>
        <w:rPr>
          <w:rFonts w:ascii="Arial" w:hAnsi="Arial" w:cs="Arial"/>
          <w:sz w:val="20"/>
          <w:szCs w:val="20"/>
        </w:rPr>
      </w:pPr>
      <w:r w:rsidRPr="00302CE3">
        <w:rPr>
          <w:rFonts w:ascii="Arial" w:eastAsia="Times New Roman" w:hAnsi="Arial" w:cs="Arial"/>
          <w:noProof/>
          <w:sz w:val="20"/>
          <w:szCs w:val="20"/>
          <w:lang w:eastAsia="it-IT"/>
        </w:rPr>
        <w:drawing>
          <wp:anchor distT="0" distB="0" distL="114300" distR="114300" simplePos="0" relativeHeight="251695104" behindDoc="0" locked="0" layoutInCell="1" allowOverlap="1" wp14:anchorId="68CF4788" wp14:editId="72F822DE">
            <wp:simplePos x="0" y="0"/>
            <wp:positionH relativeFrom="column">
              <wp:posOffset>19050</wp:posOffset>
            </wp:positionH>
            <wp:positionV relativeFrom="paragraph">
              <wp:posOffset>36195</wp:posOffset>
            </wp:positionV>
            <wp:extent cx="1963420" cy="1217295"/>
            <wp:effectExtent l="0" t="0" r="0" b="190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verde di Piazzale malta_ ex carma Zanardi Land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3420" cy="1217295"/>
                    </a:xfrm>
                    <a:prstGeom prst="rect">
                      <a:avLst/>
                    </a:prstGeom>
                  </pic:spPr>
                </pic:pic>
              </a:graphicData>
            </a:graphic>
            <wp14:sizeRelH relativeFrom="page">
              <wp14:pctWidth>0</wp14:pctWidth>
            </wp14:sizeRelH>
            <wp14:sizeRelV relativeFrom="page">
              <wp14:pctHeight>0</wp14:pctHeight>
            </wp14:sizeRelV>
          </wp:anchor>
        </w:drawing>
      </w:r>
      <w:r w:rsidRPr="00471CAF">
        <w:rPr>
          <w:rFonts w:ascii="Arial" w:hAnsi="Arial" w:cs="Arial"/>
          <w:color w:val="000000"/>
          <w:sz w:val="20"/>
          <w:szCs w:val="20"/>
        </w:rPr>
        <w:t xml:space="preserve">Tra i beni </w:t>
      </w:r>
      <w:r w:rsidRPr="00A96A5B">
        <w:rPr>
          <w:rFonts w:ascii="Arial" w:hAnsi="Arial" w:cs="Arial"/>
          <w:sz w:val="20"/>
          <w:szCs w:val="20"/>
        </w:rPr>
        <w:t xml:space="preserve">demaniali interessati </w:t>
      </w:r>
      <w:r w:rsidR="00681FB1">
        <w:rPr>
          <w:rFonts w:ascii="Arial" w:hAnsi="Arial" w:cs="Arial"/>
          <w:sz w:val="20"/>
          <w:szCs w:val="20"/>
        </w:rPr>
        <w:t xml:space="preserve">dalla consultazione, </w:t>
      </w:r>
      <w:r>
        <w:rPr>
          <w:rFonts w:ascii="Arial" w:hAnsi="Arial" w:cs="Arial"/>
          <w:sz w:val="20"/>
          <w:szCs w:val="20"/>
        </w:rPr>
        <w:t xml:space="preserve">riconducibili al </w:t>
      </w:r>
      <w:r w:rsidRPr="00A96A5B">
        <w:rPr>
          <w:rFonts w:ascii="Arial" w:hAnsi="Arial" w:cs="Arial"/>
          <w:sz w:val="20"/>
          <w:szCs w:val="20"/>
        </w:rPr>
        <w:t xml:space="preserve">sistema della cinta muraria di Piacenza si ritrova anche </w:t>
      </w:r>
      <w:r w:rsidRPr="00681FB1">
        <w:rPr>
          <w:rFonts w:ascii="Arial" w:hAnsi="Arial" w:cs="Arial"/>
          <w:i/>
          <w:sz w:val="20"/>
          <w:szCs w:val="20"/>
        </w:rPr>
        <w:t>l’ex Caserma Zanardi-Landi</w:t>
      </w:r>
      <w:r w:rsidR="0014415E" w:rsidRPr="00681FB1">
        <w:rPr>
          <w:rFonts w:ascii="Arial" w:hAnsi="Arial" w:cs="Arial"/>
          <w:sz w:val="20"/>
          <w:szCs w:val="20"/>
        </w:rPr>
        <w:t xml:space="preserve"> e, quindi, la </w:t>
      </w:r>
      <w:r w:rsidRPr="00681FB1">
        <w:rPr>
          <w:rFonts w:ascii="Arial" w:hAnsi="Arial" w:cs="Arial"/>
          <w:sz w:val="20"/>
          <w:szCs w:val="20"/>
        </w:rPr>
        <w:t>porzione di tale compendio meglio not</w:t>
      </w:r>
      <w:r w:rsidR="0014415E" w:rsidRPr="00681FB1">
        <w:rPr>
          <w:rFonts w:ascii="Arial" w:hAnsi="Arial" w:cs="Arial"/>
          <w:sz w:val="20"/>
          <w:szCs w:val="20"/>
        </w:rPr>
        <w:t>a</w:t>
      </w:r>
      <w:r w:rsidRPr="00681FB1">
        <w:rPr>
          <w:rFonts w:ascii="Arial" w:hAnsi="Arial" w:cs="Arial"/>
          <w:sz w:val="20"/>
          <w:szCs w:val="20"/>
        </w:rPr>
        <w:t xml:space="preserve"> all</w:t>
      </w:r>
      <w:r w:rsidR="0014415E" w:rsidRPr="00681FB1">
        <w:rPr>
          <w:rFonts w:ascii="Arial" w:hAnsi="Arial" w:cs="Arial"/>
          <w:sz w:val="20"/>
          <w:szCs w:val="20"/>
        </w:rPr>
        <w:t>a</w:t>
      </w:r>
      <w:r w:rsidRPr="00681FB1">
        <w:rPr>
          <w:rFonts w:ascii="Arial" w:hAnsi="Arial" w:cs="Arial"/>
          <w:sz w:val="20"/>
          <w:szCs w:val="20"/>
        </w:rPr>
        <w:t xml:space="preserve"> comunità locale come </w:t>
      </w:r>
      <w:r w:rsidRPr="00681FB1">
        <w:rPr>
          <w:rFonts w:ascii="Arial" w:hAnsi="Arial" w:cs="Arial"/>
          <w:i/>
          <w:sz w:val="20"/>
          <w:szCs w:val="20"/>
        </w:rPr>
        <w:t>area a verde o “boschetto</w:t>
      </w:r>
      <w:r w:rsidRPr="00681FB1">
        <w:rPr>
          <w:rFonts w:ascii="Arial" w:hAnsi="Arial" w:cs="Arial"/>
          <w:sz w:val="20"/>
          <w:szCs w:val="20"/>
        </w:rPr>
        <w:t>” di piazzale</w:t>
      </w:r>
      <w:r w:rsidRPr="00A96A5B">
        <w:rPr>
          <w:rFonts w:ascii="Arial" w:hAnsi="Arial" w:cs="Arial"/>
          <w:sz w:val="20"/>
          <w:szCs w:val="20"/>
        </w:rPr>
        <w:t xml:space="preserve"> Malta, </w:t>
      </w:r>
      <w:r w:rsidR="0014415E">
        <w:rPr>
          <w:rFonts w:ascii="Arial" w:hAnsi="Arial" w:cs="Arial"/>
          <w:sz w:val="20"/>
          <w:szCs w:val="20"/>
        </w:rPr>
        <w:t xml:space="preserve">rientrante nella declaratoria di vincolo che ha </w:t>
      </w:r>
      <w:r w:rsidRPr="00A96A5B">
        <w:rPr>
          <w:rFonts w:ascii="Arial" w:hAnsi="Arial" w:cs="Arial"/>
          <w:sz w:val="20"/>
          <w:szCs w:val="20"/>
        </w:rPr>
        <w:t>riconosciut</w:t>
      </w:r>
      <w:r w:rsidR="0014415E">
        <w:rPr>
          <w:rFonts w:ascii="Arial" w:hAnsi="Arial" w:cs="Arial"/>
          <w:sz w:val="20"/>
          <w:szCs w:val="20"/>
        </w:rPr>
        <w:t>o</w:t>
      </w:r>
      <w:r w:rsidRPr="00A96A5B">
        <w:rPr>
          <w:rFonts w:ascii="Arial" w:hAnsi="Arial" w:cs="Arial"/>
          <w:sz w:val="20"/>
          <w:szCs w:val="20"/>
        </w:rPr>
        <w:t xml:space="preserve"> di particola</w:t>
      </w:r>
      <w:r w:rsidR="0014415E">
        <w:rPr>
          <w:rFonts w:ascii="Arial" w:hAnsi="Arial" w:cs="Arial"/>
          <w:sz w:val="20"/>
          <w:szCs w:val="20"/>
        </w:rPr>
        <w:t xml:space="preserve">re interesse storico-artistico l’immobile, </w:t>
      </w:r>
      <w:r w:rsidRPr="00A96A5B">
        <w:rPr>
          <w:rFonts w:ascii="Arial" w:hAnsi="Arial" w:cs="Arial"/>
          <w:sz w:val="20"/>
          <w:szCs w:val="20"/>
        </w:rPr>
        <w:t xml:space="preserve">in quanto il suo sedime incorpora </w:t>
      </w:r>
      <w:r w:rsidRPr="00A96A5B">
        <w:rPr>
          <w:rFonts w:ascii="Arial" w:hAnsi="Arial" w:cs="Arial"/>
          <w:i/>
          <w:sz w:val="20"/>
          <w:szCs w:val="20"/>
        </w:rPr>
        <w:t>“i rilevanti resti del castello Farnese, tratti delle mura farnesiane e della monumentale porta detta di S. Antonio, aperta sulle mura stesse”.</w:t>
      </w:r>
    </w:p>
    <w:p w:rsidR="00302CE3" w:rsidRDefault="00302CE3" w:rsidP="00942D4C"/>
    <w:p w:rsidR="000D71A8" w:rsidRDefault="000D71A8" w:rsidP="00942D4C">
      <w:pPr>
        <w:sectPr w:rsidR="000D71A8" w:rsidSect="008437D9">
          <w:pgSz w:w="11906" w:h="16838"/>
          <w:pgMar w:top="1417" w:right="1134" w:bottom="1134" w:left="1134" w:header="708" w:footer="708" w:gutter="0"/>
          <w:cols w:space="708"/>
          <w:docGrid w:linePitch="360"/>
        </w:sectPr>
      </w:pPr>
    </w:p>
    <w:p w:rsidR="00942D4C" w:rsidRPr="00D1118C" w:rsidRDefault="005804DE" w:rsidP="00D1118C">
      <w:pPr>
        <w:jc w:val="both"/>
        <w:rPr>
          <w:b/>
          <w:color w:val="C00000"/>
          <w:sz w:val="28"/>
          <w:szCs w:val="28"/>
        </w:rPr>
      </w:pPr>
      <w:r>
        <w:rPr>
          <w:b/>
          <w:color w:val="C00000"/>
          <w:sz w:val="28"/>
          <w:szCs w:val="28"/>
        </w:rPr>
        <w:lastRenderedPageBreak/>
        <w:t xml:space="preserve">L’ EX </w:t>
      </w:r>
      <w:r w:rsidR="00942D4C" w:rsidRPr="00D1118C">
        <w:rPr>
          <w:b/>
          <w:color w:val="C00000"/>
          <w:sz w:val="28"/>
          <w:szCs w:val="28"/>
        </w:rPr>
        <w:t>CHIESA DELLE BENEDETTINE</w:t>
      </w:r>
    </w:p>
    <w:p w:rsidR="00942D4C" w:rsidRDefault="00942D4C" w:rsidP="00942D4C">
      <w:pPr>
        <w:spacing w:after="0"/>
        <w:jc w:val="both"/>
        <w:rPr>
          <w:rFonts w:ascii="Arial" w:hAnsi="Arial" w:cs="Arial"/>
          <w:sz w:val="20"/>
          <w:szCs w:val="20"/>
        </w:rPr>
      </w:pPr>
      <w:r>
        <w:rPr>
          <w:rFonts w:ascii="Arial" w:hAnsi="Arial" w:cs="Arial"/>
          <w:sz w:val="20"/>
          <w:szCs w:val="20"/>
        </w:rPr>
        <w:t>L</w:t>
      </w:r>
      <w:r w:rsidR="00385CA0">
        <w:rPr>
          <w:rFonts w:ascii="Arial" w:hAnsi="Arial" w:cs="Arial"/>
          <w:sz w:val="20"/>
          <w:szCs w:val="20"/>
        </w:rPr>
        <w:t>’ex</w:t>
      </w:r>
      <w:r>
        <w:rPr>
          <w:rFonts w:ascii="Arial" w:hAnsi="Arial" w:cs="Arial"/>
          <w:sz w:val="20"/>
          <w:szCs w:val="20"/>
        </w:rPr>
        <w:t xml:space="preserve"> C</w:t>
      </w:r>
      <w:r w:rsidRPr="00F611D8">
        <w:rPr>
          <w:rFonts w:ascii="Arial" w:hAnsi="Arial" w:cs="Arial"/>
          <w:sz w:val="20"/>
          <w:szCs w:val="20"/>
        </w:rPr>
        <w:t xml:space="preserve">hiesa delle Benedettine e l’annesso convento furono edificati per volere del duca Ranuccio II Farnese, a seguito di un voto fatto per la guarigione della moglie Margherita d'Este. Il complesso fu progettato dall'architetto di corte, Domenico </w:t>
      </w:r>
      <w:proofErr w:type="spellStart"/>
      <w:r w:rsidRPr="00F611D8">
        <w:rPr>
          <w:rFonts w:ascii="Arial" w:hAnsi="Arial" w:cs="Arial"/>
          <w:sz w:val="20"/>
          <w:szCs w:val="20"/>
        </w:rPr>
        <w:t>Valmagnini</w:t>
      </w:r>
      <w:proofErr w:type="spellEnd"/>
      <w:r w:rsidRPr="00F611D8">
        <w:rPr>
          <w:rFonts w:ascii="Arial" w:hAnsi="Arial" w:cs="Arial"/>
          <w:sz w:val="20"/>
          <w:szCs w:val="20"/>
        </w:rPr>
        <w:t xml:space="preserve"> nel 1677, e fu consacrato il 31 agosto del 1681, quando vi si stabilirono le religiose benedettine di stretta osservanza. La struttura della chiesa è impostata su una pianta centrale a croce greca, sormontata da un tamburo ottagonale su cui si erge una splendida cupola rivestita di bronzo. L’edificio rispecchia il gusto barocco dell’epoca, che si dev</w:t>
      </w:r>
      <w:r>
        <w:rPr>
          <w:rFonts w:ascii="Arial" w:hAnsi="Arial" w:cs="Arial"/>
          <w:sz w:val="20"/>
          <w:szCs w:val="20"/>
        </w:rPr>
        <w:t xml:space="preserve">e alla presenza dell’architetto </w:t>
      </w:r>
      <w:proofErr w:type="spellStart"/>
      <w:r w:rsidRPr="00F611D8">
        <w:rPr>
          <w:rFonts w:ascii="Arial" w:hAnsi="Arial" w:cs="Arial"/>
          <w:sz w:val="20"/>
          <w:szCs w:val="20"/>
        </w:rPr>
        <w:t>Valmagnini</w:t>
      </w:r>
      <w:proofErr w:type="spellEnd"/>
      <w:r w:rsidRPr="00F611D8">
        <w:rPr>
          <w:rFonts w:ascii="Arial" w:hAnsi="Arial" w:cs="Arial"/>
          <w:sz w:val="20"/>
          <w:szCs w:val="20"/>
        </w:rPr>
        <w:t xml:space="preserve"> a Piacenza, ma conserva comunque una struttura semplice e grandiosa. Secondo un pregevole studio </w:t>
      </w:r>
      <w:r w:rsidR="0014415E" w:rsidRPr="0047263D">
        <w:rPr>
          <w:noProof/>
          <w:lang w:eastAsia="it-IT"/>
        </w:rPr>
        <w:lastRenderedPageBreak/>
        <w:drawing>
          <wp:anchor distT="0" distB="0" distL="114300" distR="114300" simplePos="0" relativeHeight="251676672" behindDoc="0" locked="0" layoutInCell="1" allowOverlap="1" wp14:anchorId="2F050A1D" wp14:editId="6F61C77C">
            <wp:simplePos x="0" y="0"/>
            <wp:positionH relativeFrom="column">
              <wp:posOffset>-8890</wp:posOffset>
            </wp:positionH>
            <wp:positionV relativeFrom="paragraph">
              <wp:posOffset>69215</wp:posOffset>
            </wp:positionV>
            <wp:extent cx="1985645" cy="2360930"/>
            <wp:effectExtent l="19050" t="19050" r="14605" b="20320"/>
            <wp:wrapSquare wrapText="bothSides"/>
            <wp:docPr id="14" name="Immagine 27" descr="131791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1791109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36" b="13832"/>
                    <a:stretch/>
                  </pic:blipFill>
                  <pic:spPr bwMode="auto">
                    <a:xfrm>
                      <a:off x="0" y="0"/>
                      <a:ext cx="1985645" cy="2360930"/>
                    </a:xfrm>
                    <a:prstGeom prst="rect">
                      <a:avLst/>
                    </a:prstGeom>
                    <a:noFill/>
                    <a:ln w="9525" cap="flat" cmpd="sng" algn="ctr">
                      <a:solidFill>
                        <a:srgbClr val="C00000">
                          <a:alpha val="40000"/>
                        </a:srgb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11D8">
        <w:rPr>
          <w:rFonts w:ascii="Arial" w:hAnsi="Arial" w:cs="Arial"/>
          <w:sz w:val="20"/>
          <w:szCs w:val="20"/>
        </w:rPr>
        <w:t>dell’architetto Valeria Poli, il complesso conventuale originario era costituito da una “</w:t>
      </w:r>
      <w:r w:rsidRPr="00F611D8">
        <w:rPr>
          <w:rFonts w:ascii="Arial" w:hAnsi="Arial" w:cs="Arial"/>
          <w:i/>
          <w:sz w:val="20"/>
          <w:szCs w:val="20"/>
        </w:rPr>
        <w:t>chiesa pubblica</w:t>
      </w:r>
      <w:r w:rsidRPr="00F611D8">
        <w:rPr>
          <w:rFonts w:ascii="Arial" w:hAnsi="Arial" w:cs="Arial"/>
          <w:sz w:val="20"/>
          <w:szCs w:val="20"/>
        </w:rPr>
        <w:t>”, una “</w:t>
      </w:r>
      <w:r w:rsidRPr="00F611D8">
        <w:rPr>
          <w:rFonts w:ascii="Arial" w:hAnsi="Arial" w:cs="Arial"/>
          <w:i/>
          <w:sz w:val="20"/>
          <w:szCs w:val="20"/>
        </w:rPr>
        <w:t>chiesa delle monache</w:t>
      </w:r>
      <w:r w:rsidRPr="00F611D8">
        <w:rPr>
          <w:rFonts w:ascii="Arial" w:hAnsi="Arial" w:cs="Arial"/>
          <w:sz w:val="20"/>
          <w:szCs w:val="20"/>
        </w:rPr>
        <w:t>” (</w:t>
      </w:r>
      <w:r>
        <w:rPr>
          <w:rFonts w:ascii="Arial" w:hAnsi="Arial" w:cs="Arial"/>
          <w:sz w:val="20"/>
          <w:szCs w:val="20"/>
        </w:rPr>
        <w:t xml:space="preserve">cfr. </w:t>
      </w:r>
      <w:r w:rsidRPr="00F611D8">
        <w:rPr>
          <w:rFonts w:ascii="Arial" w:hAnsi="Arial" w:cs="Arial"/>
          <w:i/>
          <w:sz w:val="20"/>
          <w:szCs w:val="20"/>
        </w:rPr>
        <w:t>fig. 4</w:t>
      </w:r>
      <w:r w:rsidRPr="00F611D8">
        <w:rPr>
          <w:rFonts w:ascii="Arial" w:hAnsi="Arial" w:cs="Arial"/>
          <w:sz w:val="20"/>
          <w:szCs w:val="20"/>
        </w:rPr>
        <w:t>) ed una serie di fabbricati che si estendevano lungo il cantone dei “</w:t>
      </w:r>
      <w:proofErr w:type="spellStart"/>
      <w:r w:rsidRPr="00F611D8">
        <w:rPr>
          <w:rFonts w:ascii="Arial" w:hAnsi="Arial" w:cs="Arial"/>
          <w:sz w:val="20"/>
          <w:szCs w:val="20"/>
        </w:rPr>
        <w:t>Buffalari</w:t>
      </w:r>
      <w:proofErr w:type="spellEnd"/>
      <w:r w:rsidRPr="00F611D8">
        <w:rPr>
          <w:rFonts w:ascii="Arial" w:hAnsi="Arial" w:cs="Arial"/>
          <w:sz w:val="20"/>
          <w:szCs w:val="20"/>
        </w:rPr>
        <w:t xml:space="preserve">”, articolati lungo tre cortili, mentre al “claustro maggiore” si accedeva anche da via delle Benedettine. </w:t>
      </w:r>
    </w:p>
    <w:p w:rsidR="00651784" w:rsidRDefault="00942D4C" w:rsidP="00651784">
      <w:pPr>
        <w:spacing w:after="0"/>
        <w:jc w:val="both"/>
        <w:rPr>
          <w:rFonts w:ascii="Arial" w:hAnsi="Arial" w:cs="Arial"/>
          <w:sz w:val="20"/>
          <w:szCs w:val="20"/>
        </w:rPr>
      </w:pPr>
      <w:r w:rsidRPr="00F611D8">
        <w:rPr>
          <w:rFonts w:ascii="Arial" w:hAnsi="Arial" w:cs="Arial"/>
          <w:sz w:val="20"/>
          <w:szCs w:val="20"/>
        </w:rPr>
        <w:t>La facciata della chiesa è caratterizzata dall’adozione dell’ordine tuscanico su un alto basamento con lesene binate, che convergono verso il grande frontone a profilo spezzato; la finestra centrale ha la funzione di alleggerire ed ingentilire la struttura, creando un insieme gradevole ed elegante. Del convento e dei chiostri attigui alla chiesa non rimangono tracce visibili a causa degli interventi napoleonici e della conseguente chiusura, avvenuta nel 1810. La chiesa passò successivamente al Demanio dello Stato per essere utilizzata per finalità di difesa, unitamente all’attiguo convento. Alla fine degli a</w:t>
      </w:r>
      <w:r w:rsidR="00651784">
        <w:rPr>
          <w:rFonts w:ascii="Arial" w:hAnsi="Arial" w:cs="Arial"/>
          <w:sz w:val="20"/>
          <w:szCs w:val="20"/>
        </w:rPr>
        <w:t xml:space="preserve">nni ’90, l’edificio religioso è </w:t>
      </w:r>
      <w:r w:rsidRPr="00F611D8">
        <w:rPr>
          <w:rFonts w:ascii="Arial" w:hAnsi="Arial" w:cs="Arial"/>
          <w:sz w:val="20"/>
          <w:szCs w:val="20"/>
        </w:rPr>
        <w:t>stato sottoposto ad una serie di restauri conservativi, ad opera della Soprintendenza per i Beni Culturali di Bologna, restauri che ne hanno salvato la configurazione originaria, ma senza permetterne l’agibilità, tuttora compromessa dalle pessime condizioni di conservazione degli in</w:t>
      </w:r>
      <w:r>
        <w:rPr>
          <w:rFonts w:ascii="Arial" w:hAnsi="Arial" w:cs="Arial"/>
          <w:sz w:val="20"/>
          <w:szCs w:val="20"/>
        </w:rPr>
        <w:t>terni, dovute al mancato restaur</w:t>
      </w:r>
      <w:r w:rsidRPr="00F611D8">
        <w:rPr>
          <w:rFonts w:ascii="Arial" w:hAnsi="Arial" w:cs="Arial"/>
          <w:sz w:val="20"/>
          <w:szCs w:val="20"/>
        </w:rPr>
        <w:t>o delle finiture interne e al perdurante stato di inutilizzo della struttura.</w:t>
      </w:r>
      <w:r>
        <w:rPr>
          <w:rFonts w:ascii="Arial" w:hAnsi="Arial" w:cs="Arial"/>
          <w:sz w:val="20"/>
          <w:szCs w:val="20"/>
        </w:rPr>
        <w:t xml:space="preserve"> </w:t>
      </w:r>
      <w:r w:rsidRPr="00F611D8">
        <w:rPr>
          <w:rFonts w:ascii="Arial" w:hAnsi="Arial" w:cs="Arial"/>
          <w:sz w:val="20"/>
          <w:szCs w:val="20"/>
        </w:rPr>
        <w:t>A seguito della progressiva dismissione degli immobili dall’uso g</w:t>
      </w:r>
      <w:r>
        <w:rPr>
          <w:rFonts w:ascii="Arial" w:hAnsi="Arial" w:cs="Arial"/>
          <w:sz w:val="20"/>
          <w:szCs w:val="20"/>
        </w:rPr>
        <w:t>overnativo del Ministero della D</w:t>
      </w:r>
      <w:r w:rsidRPr="00F611D8">
        <w:rPr>
          <w:rFonts w:ascii="Arial" w:hAnsi="Arial" w:cs="Arial"/>
          <w:sz w:val="20"/>
          <w:szCs w:val="20"/>
        </w:rPr>
        <w:t xml:space="preserve">ifesa, completato solo nel 2007, l’intero isolato, costituito dall’ex Chiesa e dal convento delle Benedettine (poi  Caserma Pietro Cella) e dalla contigua caserma Vittorio Alfieri, delimitato dalle vie </w:t>
      </w:r>
      <w:proofErr w:type="spellStart"/>
      <w:r w:rsidRPr="00F611D8">
        <w:rPr>
          <w:rFonts w:ascii="Arial" w:hAnsi="Arial" w:cs="Arial"/>
          <w:sz w:val="20"/>
          <w:szCs w:val="20"/>
        </w:rPr>
        <w:t>Buffalori</w:t>
      </w:r>
      <w:proofErr w:type="spellEnd"/>
      <w:r w:rsidRPr="00F611D8">
        <w:rPr>
          <w:rFonts w:ascii="Arial" w:hAnsi="Arial" w:cs="Arial"/>
          <w:sz w:val="20"/>
          <w:szCs w:val="20"/>
        </w:rPr>
        <w:t xml:space="preserve">, Benedettine e via Cantone Abbondanza, e da alcuni  edifici privati, attende da anni un importante intervento di riqualificazione edilizia e urbanistica, già indicato negli strumenti urbanistici comunali vigenti (Piano Regolatore Generale), che individuano il comparto come un'unica area di trasformazione, comprensiva peraltro di altri edifici demaniali nelle immediate vicinanze (sul lato opposto di via Benedettine: Palazzo </w:t>
      </w:r>
      <w:proofErr w:type="spellStart"/>
      <w:r w:rsidRPr="00F611D8">
        <w:rPr>
          <w:rFonts w:ascii="Arial" w:hAnsi="Arial" w:cs="Arial"/>
          <w:sz w:val="20"/>
          <w:szCs w:val="20"/>
        </w:rPr>
        <w:t>Barborini</w:t>
      </w:r>
      <w:proofErr w:type="spellEnd"/>
      <w:r w:rsidRPr="00F611D8">
        <w:rPr>
          <w:rFonts w:ascii="Arial" w:hAnsi="Arial" w:cs="Arial"/>
          <w:sz w:val="20"/>
          <w:szCs w:val="20"/>
        </w:rPr>
        <w:t>, già palazzo delle carceri di Piacenza, Palazzo Madama</w:t>
      </w:r>
      <w:r>
        <w:rPr>
          <w:rFonts w:ascii="Arial" w:hAnsi="Arial" w:cs="Arial"/>
          <w:sz w:val="20"/>
          <w:szCs w:val="20"/>
        </w:rPr>
        <w:t xml:space="preserve"> e palazzina Ottocentesca</w:t>
      </w:r>
      <w:r w:rsidRPr="00F611D8">
        <w:rPr>
          <w:rFonts w:ascii="Arial" w:hAnsi="Arial" w:cs="Arial"/>
          <w:sz w:val="20"/>
          <w:szCs w:val="20"/>
        </w:rPr>
        <w:t xml:space="preserve">, attuale sede della Procura delle Repubblica di Piacenza e Palazzo Landi, sede del Tribunale, e l’attigua Chiesa di San Lorenzo) destinati ad ospitare il polo funzionale della “Cittadella Giudiziaria” di Piacenza. </w:t>
      </w:r>
    </w:p>
    <w:p w:rsidR="00651784" w:rsidRDefault="00651784" w:rsidP="00651784">
      <w:pPr>
        <w:spacing w:after="0"/>
        <w:jc w:val="both"/>
        <w:rPr>
          <w:rFonts w:ascii="Arial" w:hAnsi="Arial" w:cs="Arial"/>
          <w:sz w:val="20"/>
          <w:szCs w:val="20"/>
        </w:rPr>
      </w:pPr>
    </w:p>
    <w:p w:rsidR="00651784" w:rsidRPr="00D1118C" w:rsidRDefault="005804DE" w:rsidP="00D1118C">
      <w:pPr>
        <w:jc w:val="both"/>
        <w:rPr>
          <w:b/>
          <w:color w:val="C00000"/>
          <w:sz w:val="28"/>
          <w:szCs w:val="28"/>
        </w:rPr>
      </w:pPr>
      <w:r>
        <w:rPr>
          <w:b/>
          <w:color w:val="C00000"/>
          <w:sz w:val="28"/>
          <w:szCs w:val="28"/>
        </w:rPr>
        <w:t xml:space="preserve">L’EX </w:t>
      </w:r>
      <w:r w:rsidR="00942D4C" w:rsidRPr="00D1118C">
        <w:rPr>
          <w:b/>
          <w:color w:val="C00000"/>
          <w:sz w:val="28"/>
          <w:szCs w:val="28"/>
        </w:rPr>
        <w:t>CHIESA DI SAN LORENZO</w:t>
      </w:r>
    </w:p>
    <w:p w:rsidR="00942D4C" w:rsidRPr="00942D4C" w:rsidRDefault="00942D4C" w:rsidP="00651784">
      <w:pPr>
        <w:spacing w:after="0"/>
        <w:jc w:val="both"/>
        <w:rPr>
          <w:rFonts w:ascii="Arial" w:hAnsi="Arial" w:cs="Arial"/>
          <w:sz w:val="20"/>
          <w:szCs w:val="20"/>
        </w:rPr>
      </w:pPr>
      <w:r w:rsidRPr="00942D4C">
        <w:rPr>
          <w:rFonts w:ascii="Arial" w:hAnsi="Arial" w:cs="Arial"/>
          <w:noProof/>
          <w:sz w:val="20"/>
          <w:szCs w:val="20"/>
          <w:lang w:eastAsia="it-IT"/>
        </w:rPr>
        <w:drawing>
          <wp:anchor distT="0" distB="0" distL="114300" distR="114300" simplePos="0" relativeHeight="251678720" behindDoc="0" locked="0" layoutInCell="1" allowOverlap="1" wp14:anchorId="6B273214" wp14:editId="59B90FD7">
            <wp:simplePos x="0" y="0"/>
            <wp:positionH relativeFrom="column">
              <wp:posOffset>-5715</wp:posOffset>
            </wp:positionH>
            <wp:positionV relativeFrom="paragraph">
              <wp:posOffset>872490</wp:posOffset>
            </wp:positionV>
            <wp:extent cx="2647950" cy="1736090"/>
            <wp:effectExtent l="19050" t="19050" r="19050" b="1651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1736090"/>
                    </a:xfrm>
                    <a:prstGeom prst="rect">
                      <a:avLst/>
                    </a:prstGeom>
                    <a:noFill/>
                    <a:ln>
                      <a:solidFill>
                        <a:srgbClr val="C00000">
                          <a:alpha val="0"/>
                        </a:srgbClr>
                      </a:solidFill>
                    </a:ln>
                  </pic:spPr>
                </pic:pic>
              </a:graphicData>
            </a:graphic>
            <wp14:sizeRelH relativeFrom="page">
              <wp14:pctWidth>0</wp14:pctWidth>
            </wp14:sizeRelH>
            <wp14:sizeRelV relativeFrom="page">
              <wp14:pctHeight>0</wp14:pctHeight>
            </wp14:sizeRelV>
          </wp:anchor>
        </w:drawing>
      </w:r>
      <w:r w:rsidRPr="00942D4C">
        <w:rPr>
          <w:rFonts w:ascii="Arial" w:hAnsi="Arial" w:cs="Arial"/>
          <w:sz w:val="20"/>
          <w:szCs w:val="20"/>
        </w:rPr>
        <w:t>L’edificio religioso risale al XIV secolo in quanto, secondo recenti studi (di Pier Maria Campi ed altri), gli Eremitani si sarebbero insediati nella chiesa di San Lorenzo a Porta Nuova nel 1261, ma la chiesa non fu costruita ex-novo bensì venne realizzata su una struttura preesistente. Stando a quanto riporta il cronista Pietro da Ripalta, l’attuale edificio fu realizzato nel 1334 contemporaneamente alla chiesa di Sant’Anna dei Serviti e alla chiesa del Carmine. San Lorenzo, come Sant’Anna e parzialmente San Giovanni in Canale appartengono alla tipologia di c.d. “</w:t>
      </w:r>
      <w:r w:rsidRPr="00651784">
        <w:rPr>
          <w:rFonts w:ascii="Arial" w:hAnsi="Arial" w:cs="Arial"/>
          <w:sz w:val="20"/>
          <w:szCs w:val="20"/>
        </w:rPr>
        <w:t>Chiese a Sala</w:t>
      </w:r>
      <w:r w:rsidRPr="00942D4C">
        <w:rPr>
          <w:rFonts w:ascii="Arial" w:hAnsi="Arial" w:cs="Arial"/>
          <w:sz w:val="20"/>
          <w:szCs w:val="20"/>
        </w:rPr>
        <w:t>”.</w:t>
      </w:r>
    </w:p>
    <w:p w:rsidR="00942D4C" w:rsidRPr="00942D4C" w:rsidRDefault="00942D4C" w:rsidP="00942D4C">
      <w:pPr>
        <w:spacing w:after="0"/>
        <w:ind w:left="-142"/>
        <w:jc w:val="both"/>
        <w:rPr>
          <w:rFonts w:ascii="Arial" w:hAnsi="Arial" w:cs="Arial"/>
          <w:sz w:val="20"/>
          <w:szCs w:val="20"/>
        </w:rPr>
      </w:pPr>
      <w:r w:rsidRPr="00942D4C">
        <w:rPr>
          <w:rFonts w:ascii="Arial" w:hAnsi="Arial" w:cs="Arial"/>
          <w:sz w:val="20"/>
          <w:szCs w:val="20"/>
        </w:rPr>
        <w:t xml:space="preserve">Questa tipologia di chiese, con navate di pari altezza illuminate esclusivamente dalle </w:t>
      </w:r>
      <w:r w:rsidRPr="007B46E9">
        <w:rPr>
          <w:rFonts w:ascii="Arial" w:hAnsi="Arial" w:cs="Arial"/>
          <w:sz w:val="20"/>
          <w:szCs w:val="20"/>
        </w:rPr>
        <w:t>finestre</w:t>
      </w:r>
      <w:r w:rsidRPr="00942D4C">
        <w:rPr>
          <w:rFonts w:ascii="Arial" w:hAnsi="Arial" w:cs="Arial"/>
          <w:sz w:val="20"/>
          <w:szCs w:val="20"/>
        </w:rPr>
        <w:t xml:space="preserve"> ricavate dalle navate laterali, deriva probabilmente da modelli della Francia Occidentale, della </w:t>
      </w:r>
      <w:proofErr w:type="spellStart"/>
      <w:r w:rsidRPr="00942D4C">
        <w:rPr>
          <w:rFonts w:ascii="Arial" w:hAnsi="Arial" w:cs="Arial"/>
          <w:sz w:val="20"/>
          <w:szCs w:val="20"/>
        </w:rPr>
        <w:t>Westfalia</w:t>
      </w:r>
      <w:proofErr w:type="spellEnd"/>
      <w:r w:rsidRPr="00942D4C">
        <w:rPr>
          <w:rFonts w:ascii="Arial" w:hAnsi="Arial" w:cs="Arial"/>
          <w:sz w:val="20"/>
          <w:szCs w:val="20"/>
        </w:rPr>
        <w:t xml:space="preserve">, delle regioni baltiche e delle costruzioni cistercensi della Germania Orientale. </w:t>
      </w:r>
    </w:p>
    <w:p w:rsidR="00942D4C" w:rsidRPr="00942D4C" w:rsidRDefault="00942D4C" w:rsidP="00942D4C">
      <w:pPr>
        <w:spacing w:after="0"/>
        <w:ind w:left="-142"/>
        <w:jc w:val="both"/>
        <w:rPr>
          <w:rFonts w:ascii="Arial" w:hAnsi="Arial" w:cs="Arial"/>
          <w:sz w:val="20"/>
          <w:szCs w:val="20"/>
        </w:rPr>
      </w:pPr>
      <w:r w:rsidRPr="00942D4C">
        <w:rPr>
          <w:rFonts w:ascii="Arial" w:hAnsi="Arial" w:cs="Arial"/>
          <w:sz w:val="20"/>
          <w:szCs w:val="20"/>
        </w:rPr>
        <w:t>La struttura conserva il suo assetto originario, pur presentando decorazioni e inserti architettonici risalenti all’epoca barocca.</w:t>
      </w:r>
    </w:p>
    <w:p w:rsidR="00942D4C" w:rsidRPr="00942D4C" w:rsidRDefault="00942D4C" w:rsidP="00651784">
      <w:pPr>
        <w:spacing w:after="0"/>
        <w:ind w:left="-142"/>
        <w:jc w:val="both"/>
        <w:rPr>
          <w:rFonts w:ascii="Arial" w:hAnsi="Arial" w:cs="Arial"/>
          <w:sz w:val="20"/>
          <w:szCs w:val="20"/>
        </w:rPr>
      </w:pPr>
      <w:r w:rsidRPr="00942D4C">
        <w:rPr>
          <w:rFonts w:ascii="Arial" w:hAnsi="Arial" w:cs="Arial"/>
          <w:sz w:val="20"/>
          <w:szCs w:val="20"/>
        </w:rPr>
        <w:t>Sfortunatamente la chiesa e il complesso conventuale furono soppressi per ordine di Napoleone all’inizio dell’Ottocento e le pitture murali vennero coperte da uno strato di intonaco. In tempi recenti la chiesa è stata sottoposta ad una serie di restauri che hanno riportato alla luce gli affreschi, i quali sono stati staccati, sottoposti ad una rigorosa ripulitura e portati ai Musei Civici di Palazzo Farnese, dove sono tuttora esposti al pubblico.</w:t>
      </w:r>
    </w:p>
    <w:p w:rsidR="00942D4C" w:rsidRDefault="00942D4C" w:rsidP="00651784">
      <w:pPr>
        <w:ind w:left="-142"/>
        <w:jc w:val="both"/>
        <w:rPr>
          <w:rFonts w:ascii="Arial" w:hAnsi="Arial" w:cs="Arial"/>
          <w:sz w:val="20"/>
          <w:szCs w:val="20"/>
        </w:rPr>
      </w:pPr>
      <w:r w:rsidRPr="00942D4C">
        <w:rPr>
          <w:rFonts w:ascii="Arial" w:hAnsi="Arial" w:cs="Arial"/>
          <w:sz w:val="20"/>
          <w:szCs w:val="20"/>
        </w:rPr>
        <w:lastRenderedPageBreak/>
        <w:t xml:space="preserve">Purtroppo  è stato assai difficoltoso ricostruire la disposizione originale delle “Storie di Santa Caterina” a causa dei pesanti interventi del secolo XVII. Il ciclo di affreschi proveniente dalla cappella omonima è estremamente significativo e si può ricondurre alla scuola lombarda. </w:t>
      </w:r>
    </w:p>
    <w:p w:rsidR="0066096D" w:rsidRPr="00302CE3" w:rsidRDefault="0066096D" w:rsidP="00651784">
      <w:pPr>
        <w:pStyle w:val="Testo"/>
        <w:ind w:left="0" w:firstLine="0"/>
        <w:jc w:val="left"/>
        <w:rPr>
          <w:rFonts w:ascii="Arial" w:eastAsiaTheme="minorHAnsi" w:hAnsi="Arial" w:cs="Arial"/>
          <w:lang w:eastAsia="en-US"/>
        </w:rPr>
      </w:pPr>
    </w:p>
    <w:p w:rsidR="008437D9" w:rsidRPr="00D1118C" w:rsidRDefault="005804DE" w:rsidP="00D1118C">
      <w:pPr>
        <w:jc w:val="both"/>
        <w:rPr>
          <w:b/>
          <w:color w:val="C00000"/>
          <w:sz w:val="28"/>
          <w:szCs w:val="28"/>
        </w:rPr>
      </w:pPr>
      <w:r>
        <w:rPr>
          <w:b/>
          <w:color w:val="C00000"/>
          <w:sz w:val="28"/>
          <w:szCs w:val="28"/>
        </w:rPr>
        <w:t xml:space="preserve">L’EX </w:t>
      </w:r>
      <w:r w:rsidR="008437D9" w:rsidRPr="00D1118C">
        <w:rPr>
          <w:b/>
          <w:color w:val="C00000"/>
          <w:sz w:val="28"/>
          <w:szCs w:val="28"/>
        </w:rPr>
        <w:t>CHIESA DI SANT’AGOSTINO</w:t>
      </w:r>
    </w:p>
    <w:p w:rsidR="008437D9" w:rsidRPr="00651784" w:rsidRDefault="008437D9" w:rsidP="00302CE3">
      <w:pPr>
        <w:pStyle w:val="Testo"/>
        <w:ind w:left="0" w:firstLine="0"/>
        <w:rPr>
          <w:rFonts w:ascii="Arial" w:hAnsi="Arial" w:cs="Arial"/>
        </w:rPr>
      </w:pPr>
      <w:r w:rsidRPr="00651784">
        <w:rPr>
          <w:rFonts w:ascii="Arial" w:hAnsi="Arial" w:cs="Arial"/>
        </w:rPr>
        <w:t xml:space="preserve">L’ex Basilica di Sant’ Agostino costituisce, con l’attiguo e omonimo monastero, il più rilevante esempio di architettura religiosa della seconda metà del sc. XVI esistente a Piacenza ed uno dei più importanti complessi rinascimentali dell’Emilia. </w:t>
      </w:r>
    </w:p>
    <w:p w:rsidR="008437D9" w:rsidRPr="00651784" w:rsidRDefault="0066096D" w:rsidP="00302CE3">
      <w:pPr>
        <w:pStyle w:val="Testo"/>
        <w:ind w:left="0" w:firstLine="0"/>
        <w:rPr>
          <w:rFonts w:ascii="Arial" w:hAnsi="Arial" w:cs="Arial"/>
        </w:rPr>
      </w:pPr>
      <w:r w:rsidRPr="00C66993">
        <w:rPr>
          <w:rFonts w:ascii="Arial" w:hAnsi="Arial" w:cs="Arial"/>
          <w:b/>
          <w:bCs/>
          <w:noProof/>
          <w:color w:val="000000"/>
        </w:rPr>
        <w:drawing>
          <wp:anchor distT="0" distB="0" distL="114300" distR="114300" simplePos="0" relativeHeight="251683840" behindDoc="0" locked="0" layoutInCell="1" allowOverlap="1" wp14:anchorId="6C6D6B29" wp14:editId="3CB4E274">
            <wp:simplePos x="0" y="0"/>
            <wp:positionH relativeFrom="column">
              <wp:posOffset>41910</wp:posOffset>
            </wp:positionH>
            <wp:positionV relativeFrom="paragraph">
              <wp:posOffset>12700</wp:posOffset>
            </wp:positionV>
            <wp:extent cx="2447925" cy="2670810"/>
            <wp:effectExtent l="0" t="0" r="9525" b="0"/>
            <wp:wrapSquare wrapText="bothSides"/>
            <wp:docPr id="18" name="Immagine 18"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oxWord://word/media/image1.jpeg"/>
                    <pic:cNvPicPr>
                      <a:picLocks noChangeAspect="1" noChangeArrowheads="1"/>
                    </pic:cNvPicPr>
                  </pic:nvPicPr>
                  <pic:blipFill>
                    <a:blip r:embed="rId16" cstate="print">
                      <a:extLst>
                        <a:ext uri="{28A0092B-C50C-407E-A947-70E740481C1C}">
                          <a14:useLocalDpi xmlns:a14="http://schemas.microsoft.com/office/drawing/2010/main" val="0"/>
                        </a:ext>
                      </a:extLst>
                    </a:blip>
                    <a:srcRect b="27170"/>
                    <a:stretch>
                      <a:fillRect/>
                    </a:stretch>
                  </pic:blipFill>
                  <pic:spPr bwMode="auto">
                    <a:xfrm>
                      <a:off x="0" y="0"/>
                      <a:ext cx="2447925" cy="2670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437D9" w:rsidRPr="00651784">
        <w:rPr>
          <w:rFonts w:ascii="Arial" w:hAnsi="Arial" w:cs="Arial"/>
        </w:rPr>
        <w:t>Il complesso è caratterizzato dalla grandiosa chiesa a cinque navate e dai due grandi chiostri del convento che si impongono per la classica linea architettonica tipicamente cinquecentesca e pertanto, risulta essere di grande interesse per la storia del vasto movimento edilizio promosso durante i secoli scorsi dagli ordini monastici del piacentino.</w:t>
      </w:r>
    </w:p>
    <w:p w:rsidR="008437D9" w:rsidRPr="00651784" w:rsidRDefault="008437D9" w:rsidP="00302CE3">
      <w:pPr>
        <w:pStyle w:val="Testo"/>
        <w:ind w:left="0" w:firstLine="0"/>
        <w:rPr>
          <w:rFonts w:ascii="Arial" w:hAnsi="Arial" w:cs="Arial"/>
        </w:rPr>
      </w:pPr>
      <w:r w:rsidRPr="00651784">
        <w:rPr>
          <w:rFonts w:ascii="Arial" w:hAnsi="Arial" w:cs="Arial"/>
        </w:rPr>
        <w:t xml:space="preserve"> La posa della prima pietra risale al 1569 e la consacrazione avviene già nel 1573; considerate le dimensioni imponenti della chiesa, i lavori di costruzione durarono diversi anni, tanto che la facciata venne ultimata solo nel 1792. </w:t>
      </w:r>
    </w:p>
    <w:p w:rsidR="008437D9" w:rsidRPr="00651784" w:rsidRDefault="008437D9" w:rsidP="00302CE3">
      <w:pPr>
        <w:pStyle w:val="Testo"/>
        <w:ind w:left="0" w:firstLine="0"/>
        <w:rPr>
          <w:rFonts w:ascii="Arial" w:hAnsi="Arial" w:cs="Arial"/>
        </w:rPr>
      </w:pPr>
      <w:r w:rsidRPr="00651784">
        <w:rPr>
          <w:rFonts w:ascii="Arial" w:hAnsi="Arial" w:cs="Arial"/>
        </w:rPr>
        <w:t>Fino al secondo dopoguerra, la chiesa e il monastero lateranense subiranno le più differenti destinazioni, da ospedale a magazzino, da scuola a museo, per poi essere adibito per diversi decenni a caserma.</w:t>
      </w:r>
    </w:p>
    <w:p w:rsidR="008437D9" w:rsidRPr="00651784" w:rsidRDefault="008437D9" w:rsidP="00302CE3">
      <w:pPr>
        <w:pStyle w:val="Testo"/>
        <w:ind w:left="0" w:firstLine="0"/>
        <w:rPr>
          <w:rFonts w:ascii="Arial" w:hAnsi="Arial" w:cs="Arial"/>
        </w:rPr>
      </w:pPr>
      <w:r w:rsidRPr="00651784">
        <w:rPr>
          <w:rFonts w:ascii="Arial" w:hAnsi="Arial" w:cs="Arial"/>
        </w:rPr>
        <w:t xml:space="preserve">L’ingresso principale della chiesa è posto sul largo piazzale prospiciente lo Stradone Farnese, all’incrocio con la via Pietro Giordani, sulla quale invece si apre un secondo accesso di servizio. </w:t>
      </w:r>
    </w:p>
    <w:p w:rsidR="008437D9" w:rsidRPr="00651784" w:rsidRDefault="008437D9" w:rsidP="00302CE3">
      <w:pPr>
        <w:pStyle w:val="Testo"/>
        <w:ind w:left="0" w:firstLine="0"/>
        <w:rPr>
          <w:rFonts w:ascii="Arial" w:hAnsi="Arial" w:cs="Arial"/>
        </w:rPr>
      </w:pPr>
      <w:r w:rsidRPr="00651784">
        <w:rPr>
          <w:rFonts w:ascii="Arial" w:hAnsi="Arial" w:cs="Arial"/>
        </w:rPr>
        <w:t xml:space="preserve">Il compendio interessato dall’iniziativa, è completato da un manufatto in muratura di mattoni pieni con la copertura a due falde in legno; è confinante con la via Giordani ed è stato edificato in epoca successiva all’edificio religioso. Attualmente risulta essere puntellato sia nella struttura muraria che nella copertura. </w:t>
      </w:r>
    </w:p>
    <w:p w:rsidR="008437D9" w:rsidRPr="00B704E1" w:rsidRDefault="008437D9" w:rsidP="00302CE3">
      <w:pPr>
        <w:pStyle w:val="Testo"/>
        <w:ind w:left="0" w:firstLine="0"/>
        <w:rPr>
          <w:rFonts w:ascii="Arial" w:hAnsi="Arial" w:cs="Arial"/>
        </w:rPr>
      </w:pPr>
      <w:r w:rsidRPr="00B704E1">
        <w:rPr>
          <w:rFonts w:ascii="Arial" w:hAnsi="Arial" w:cs="Arial"/>
        </w:rPr>
        <w:t>L’edificio è sottoposto, unitamente al contiguo ex convento (poi caserma Generale Cantore), alle disposizioni di tutela ex d.lgs. 42/2004, a seguito del decreto direttoriale del 22 ottobre 2013, emesso dalla Direzione Regionale Emilia Romagna del MIBAC, ai sensi degli art. 10-12 del Codice dei Beni Culturali</w:t>
      </w:r>
      <w:r>
        <w:rPr>
          <w:rFonts w:ascii="Arial" w:hAnsi="Arial" w:cs="Arial"/>
        </w:rPr>
        <w:t>.</w:t>
      </w:r>
    </w:p>
    <w:p w:rsidR="00942D4C" w:rsidRPr="00302CE3" w:rsidRDefault="00942D4C" w:rsidP="00302CE3">
      <w:pPr>
        <w:jc w:val="both"/>
        <w:rPr>
          <w:rFonts w:ascii="Arial" w:eastAsia="Times New Roman" w:hAnsi="Arial" w:cs="Arial"/>
          <w:sz w:val="20"/>
          <w:szCs w:val="20"/>
          <w:lang w:eastAsia="it-IT"/>
        </w:rPr>
      </w:pPr>
    </w:p>
    <w:p w:rsidR="00942D4C" w:rsidRPr="00302CE3" w:rsidRDefault="00942D4C" w:rsidP="00302CE3">
      <w:pPr>
        <w:jc w:val="both"/>
        <w:rPr>
          <w:rFonts w:ascii="Arial" w:eastAsia="Times New Roman" w:hAnsi="Arial" w:cs="Arial"/>
          <w:sz w:val="20"/>
          <w:szCs w:val="20"/>
          <w:lang w:eastAsia="it-IT"/>
        </w:rPr>
      </w:pPr>
    </w:p>
    <w:p w:rsidR="00182911" w:rsidRPr="00302CE3" w:rsidRDefault="00182911" w:rsidP="00302CE3">
      <w:pPr>
        <w:jc w:val="both"/>
        <w:rPr>
          <w:rFonts w:ascii="Arial" w:eastAsia="Times New Roman" w:hAnsi="Arial" w:cs="Arial"/>
          <w:sz w:val="20"/>
          <w:szCs w:val="20"/>
          <w:lang w:eastAsia="it-IT"/>
        </w:rPr>
      </w:pPr>
    </w:p>
    <w:sectPr w:rsidR="00182911" w:rsidRPr="00302CE3" w:rsidSect="008437D9">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D60052"/>
    <w:multiLevelType w:val="hybridMultilevel"/>
    <w:tmpl w:val="F954CD50"/>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drawingGridHorizontalSpacing w:val="181"/>
  <w:drawingGridVerticalSpacing w:val="18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A51"/>
    <w:rsid w:val="000D71A8"/>
    <w:rsid w:val="00113662"/>
    <w:rsid w:val="00126799"/>
    <w:rsid w:val="0014415E"/>
    <w:rsid w:val="00182911"/>
    <w:rsid w:val="001A0783"/>
    <w:rsid w:val="00225C01"/>
    <w:rsid w:val="002B31D5"/>
    <w:rsid w:val="00302CE3"/>
    <w:rsid w:val="00314BB8"/>
    <w:rsid w:val="00335A8C"/>
    <w:rsid w:val="00335DB0"/>
    <w:rsid w:val="003821D7"/>
    <w:rsid w:val="00385CA0"/>
    <w:rsid w:val="005206E0"/>
    <w:rsid w:val="005804DE"/>
    <w:rsid w:val="005A20AB"/>
    <w:rsid w:val="006350B2"/>
    <w:rsid w:val="00651784"/>
    <w:rsid w:val="0066096D"/>
    <w:rsid w:val="00675153"/>
    <w:rsid w:val="00681FB1"/>
    <w:rsid w:val="007B46E9"/>
    <w:rsid w:val="007E4EAB"/>
    <w:rsid w:val="008437D9"/>
    <w:rsid w:val="008D7EC2"/>
    <w:rsid w:val="00942D4C"/>
    <w:rsid w:val="00956B6A"/>
    <w:rsid w:val="009C4682"/>
    <w:rsid w:val="00AA4A51"/>
    <w:rsid w:val="00B903F3"/>
    <w:rsid w:val="00C11FC1"/>
    <w:rsid w:val="00C4373F"/>
    <w:rsid w:val="00CB1DB6"/>
    <w:rsid w:val="00D1118C"/>
    <w:rsid w:val="00DB6DB3"/>
    <w:rsid w:val="00E87B49"/>
    <w:rsid w:val="00F721A1"/>
    <w:rsid w:val="00FC09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A4A5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rsid w:val="00AA4A51"/>
    <w:pPr>
      <w:spacing w:after="120" w:line="240" w:lineRule="auto"/>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rsid w:val="00AA4A51"/>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AA4A51"/>
    <w:pPr>
      <w:spacing w:after="120" w:line="240" w:lineRule="auto"/>
      <w:ind w:left="720"/>
      <w:contextualSpacing/>
      <w:jc w:val="both"/>
    </w:pPr>
    <w:rPr>
      <w:rFonts w:ascii="Times New Roman" w:eastAsia="Times New Roman" w:hAnsi="Times New Roman" w:cs="Times New Roman"/>
      <w:sz w:val="24"/>
      <w:szCs w:val="24"/>
      <w:lang w:eastAsia="it-IT"/>
    </w:rPr>
  </w:style>
  <w:style w:type="paragraph" w:styleId="Didascalia">
    <w:name w:val="caption"/>
    <w:basedOn w:val="Normale"/>
    <w:next w:val="Normale"/>
    <w:uiPriority w:val="35"/>
    <w:unhideWhenUsed/>
    <w:qFormat/>
    <w:rsid w:val="00AA4A51"/>
    <w:pPr>
      <w:spacing w:line="240" w:lineRule="auto"/>
    </w:pPr>
    <w:rPr>
      <w:b/>
      <w:bCs/>
      <w:color w:val="4F81BD" w:themeColor="accent1"/>
      <w:sz w:val="18"/>
      <w:szCs w:val="18"/>
    </w:rPr>
  </w:style>
  <w:style w:type="paragraph" w:styleId="Testofumetto">
    <w:name w:val="Balloon Text"/>
    <w:basedOn w:val="Normale"/>
    <w:link w:val="TestofumettoCarattere"/>
    <w:uiPriority w:val="99"/>
    <w:semiHidden/>
    <w:unhideWhenUsed/>
    <w:rsid w:val="00AA4A5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A4A51"/>
    <w:rPr>
      <w:rFonts w:ascii="Tahoma" w:hAnsi="Tahoma" w:cs="Tahoma"/>
      <w:sz w:val="16"/>
      <w:szCs w:val="16"/>
    </w:rPr>
  </w:style>
  <w:style w:type="paragraph" w:customStyle="1" w:styleId="Testo">
    <w:name w:val="Testo"/>
    <w:basedOn w:val="Normale"/>
    <w:link w:val="TestoCarattere"/>
    <w:rsid w:val="008437D9"/>
    <w:pPr>
      <w:spacing w:after="0" w:line="288" w:lineRule="auto"/>
      <w:ind w:left="57" w:firstLine="709"/>
      <w:jc w:val="both"/>
    </w:pPr>
    <w:rPr>
      <w:rFonts w:ascii="Times New Roman" w:eastAsia="Times New Roman" w:hAnsi="Times New Roman" w:cs="Times New Roman"/>
      <w:sz w:val="20"/>
      <w:szCs w:val="20"/>
      <w:lang w:eastAsia="it-IT"/>
    </w:rPr>
  </w:style>
  <w:style w:type="character" w:customStyle="1" w:styleId="TestoCarattere">
    <w:name w:val="Testo Carattere"/>
    <w:basedOn w:val="Carpredefinitoparagrafo"/>
    <w:link w:val="Testo"/>
    <w:rsid w:val="008437D9"/>
    <w:rPr>
      <w:rFonts w:ascii="Times New Roman" w:eastAsia="Times New Roman" w:hAnsi="Times New Roman" w:cs="Times New Roman"/>
      <w:sz w:val="20"/>
      <w:szCs w:val="20"/>
      <w:lang w:eastAsia="it-IT"/>
    </w:rPr>
  </w:style>
  <w:style w:type="paragraph" w:styleId="NormaleWeb">
    <w:name w:val="Normal (Web)"/>
    <w:basedOn w:val="Normale"/>
    <w:uiPriority w:val="99"/>
    <w:rsid w:val="000D71A8"/>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A4A5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rsid w:val="00AA4A51"/>
    <w:pPr>
      <w:spacing w:after="120" w:line="240" w:lineRule="auto"/>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rsid w:val="00AA4A51"/>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AA4A51"/>
    <w:pPr>
      <w:spacing w:after="120" w:line="240" w:lineRule="auto"/>
      <w:ind w:left="720"/>
      <w:contextualSpacing/>
      <w:jc w:val="both"/>
    </w:pPr>
    <w:rPr>
      <w:rFonts w:ascii="Times New Roman" w:eastAsia="Times New Roman" w:hAnsi="Times New Roman" w:cs="Times New Roman"/>
      <w:sz w:val="24"/>
      <w:szCs w:val="24"/>
      <w:lang w:eastAsia="it-IT"/>
    </w:rPr>
  </w:style>
  <w:style w:type="paragraph" w:styleId="Didascalia">
    <w:name w:val="caption"/>
    <w:basedOn w:val="Normale"/>
    <w:next w:val="Normale"/>
    <w:uiPriority w:val="35"/>
    <w:unhideWhenUsed/>
    <w:qFormat/>
    <w:rsid w:val="00AA4A51"/>
    <w:pPr>
      <w:spacing w:line="240" w:lineRule="auto"/>
    </w:pPr>
    <w:rPr>
      <w:b/>
      <w:bCs/>
      <w:color w:val="4F81BD" w:themeColor="accent1"/>
      <w:sz w:val="18"/>
      <w:szCs w:val="18"/>
    </w:rPr>
  </w:style>
  <w:style w:type="paragraph" w:styleId="Testofumetto">
    <w:name w:val="Balloon Text"/>
    <w:basedOn w:val="Normale"/>
    <w:link w:val="TestofumettoCarattere"/>
    <w:uiPriority w:val="99"/>
    <w:semiHidden/>
    <w:unhideWhenUsed/>
    <w:rsid w:val="00AA4A5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A4A51"/>
    <w:rPr>
      <w:rFonts w:ascii="Tahoma" w:hAnsi="Tahoma" w:cs="Tahoma"/>
      <w:sz w:val="16"/>
      <w:szCs w:val="16"/>
    </w:rPr>
  </w:style>
  <w:style w:type="paragraph" w:customStyle="1" w:styleId="Testo">
    <w:name w:val="Testo"/>
    <w:basedOn w:val="Normale"/>
    <w:link w:val="TestoCarattere"/>
    <w:rsid w:val="008437D9"/>
    <w:pPr>
      <w:spacing w:after="0" w:line="288" w:lineRule="auto"/>
      <w:ind w:left="57" w:firstLine="709"/>
      <w:jc w:val="both"/>
    </w:pPr>
    <w:rPr>
      <w:rFonts w:ascii="Times New Roman" w:eastAsia="Times New Roman" w:hAnsi="Times New Roman" w:cs="Times New Roman"/>
      <w:sz w:val="20"/>
      <w:szCs w:val="20"/>
      <w:lang w:eastAsia="it-IT"/>
    </w:rPr>
  </w:style>
  <w:style w:type="character" w:customStyle="1" w:styleId="TestoCarattere">
    <w:name w:val="Testo Carattere"/>
    <w:basedOn w:val="Carpredefinitoparagrafo"/>
    <w:link w:val="Testo"/>
    <w:rsid w:val="008437D9"/>
    <w:rPr>
      <w:rFonts w:ascii="Times New Roman" w:eastAsia="Times New Roman" w:hAnsi="Times New Roman" w:cs="Times New Roman"/>
      <w:sz w:val="20"/>
      <w:szCs w:val="20"/>
      <w:lang w:eastAsia="it-IT"/>
    </w:rPr>
  </w:style>
  <w:style w:type="paragraph" w:styleId="NormaleWeb">
    <w:name w:val="Normal (Web)"/>
    <w:basedOn w:val="Normale"/>
    <w:uiPriority w:val="99"/>
    <w:rsid w:val="000D71A8"/>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4747B-1E4C-485E-BEEB-A135A444D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2565</Words>
  <Characters>14626</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
    </vt:vector>
  </TitlesOfParts>
  <Company>Ministero dell'Economia e della Finanze</Company>
  <LinksUpToDate>false</LinksUpToDate>
  <CharactersWithSpaces>17157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FILIGENZI VALENTINA</dc:creator>
  <cp:lastModifiedBy>FILIGENZI VALENTINA</cp:lastModifiedBy>
  <cp:revision>3</cp:revision>
  <cp:lastPrinted>2015-09-21T14:11:00Z</cp:lastPrinted>
  <dcterms:created xsi:type="dcterms:W3CDTF">2015-09-21T15:03:00Z</dcterms:created>
  <dcterms:modified xsi:type="dcterms:W3CDTF">2015-09-21T15:08:00Z</dcterms:modified>
</cp:coreProperties>
</file>