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8F6C57">
        <w:trPr>
          <w:trHeight w:val="2318"/>
        </w:trPr>
        <w:tc>
          <w:tcPr>
            <w:tcW w:w="10017" w:type="dxa"/>
            <w:shd w:val="clear" w:color="auto" w:fill="auto"/>
          </w:tcPr>
          <w:p w:rsidR="00E56CDD" w:rsidRPr="008F6C57" w:rsidRDefault="00E56CDD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1813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 consorzi di cui all’art. 46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Pr="007578C2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5678C2" w:rsidRDefault="005C48D9" w:rsidP="00EF7BFA">
      <w:pPr>
        <w:rPr>
          <w:rFonts w:ascii="Arial" w:hAnsi="Arial" w:cs="Arial"/>
          <w:sz w:val="22"/>
          <w:szCs w:val="22"/>
        </w:rPr>
      </w:pPr>
      <w:r w:rsidRPr="00D76292">
        <w:rPr>
          <w:rFonts w:ascii="Arial" w:hAnsi="Arial" w:cs="Arial"/>
          <w:sz w:val="22"/>
          <w:szCs w:val="22"/>
        </w:rPr>
        <w:t>in relazione a</w:t>
      </w:r>
      <w:r w:rsidR="005678C2">
        <w:rPr>
          <w:rFonts w:ascii="Arial" w:hAnsi="Arial" w:cs="Arial"/>
          <w:sz w:val="22"/>
          <w:szCs w:val="22"/>
        </w:rPr>
        <w:t>:</w:t>
      </w:r>
    </w:p>
    <w:p w:rsidR="005678C2" w:rsidRDefault="005678C2" w:rsidP="00EF7BFA">
      <w:pPr>
        <w:rPr>
          <w:rFonts w:ascii="Arial" w:hAnsi="Arial" w:cs="Arial"/>
          <w:sz w:val="22"/>
          <w:szCs w:val="22"/>
        </w:rPr>
      </w:pPr>
    </w:p>
    <w:p w:rsidR="005678C2" w:rsidRPr="008752DD" w:rsidRDefault="005678C2" w:rsidP="005678C2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G</w:t>
      </w:r>
      <w:r w:rsidRPr="00611C7B">
        <w:rPr>
          <w:rFonts w:ascii="Arial" w:hAnsi="Arial" w:cs="Arial"/>
          <w:bCs/>
          <w:iCs/>
          <w:szCs w:val="22"/>
        </w:rPr>
        <w:t xml:space="preserve">ara Europea con procedura aperta, ai sensi dell’art. 60 del D.lgs. 18 aprile 2016 n.50 e ss.mm e ii. per l’affidamento dei servizi attinenti all’architettura e all’ingegneria relativi alla progettazione definitiva ed esecutiva, alla direzione lavori, al coordinamento per la sicurezza, oltre l’aggiornamento del rilievo in modalità BIM e le integrazioni alle indagini preliminari all’intervento di </w:t>
      </w:r>
      <w:r w:rsidRPr="00611C7B">
        <w:rPr>
          <w:rFonts w:ascii="Arial" w:hAnsi="Arial" w:cs="Arial"/>
          <w:bCs/>
          <w:i/>
          <w:iCs/>
          <w:szCs w:val="22"/>
        </w:rPr>
        <w:t>“Restauro e Risanamento Conservativo  del complesso monumentale ex Abbazia dei SS. Felice e Nabore (ora Caserma Gucci), sito in Bologna – Via dell’Abbadia 3 (Scheda BOD0012)”</w:t>
      </w:r>
      <w:r w:rsidRPr="00611C7B">
        <w:rPr>
          <w:rFonts w:ascii="Arial" w:hAnsi="Arial" w:cs="Arial"/>
          <w:bCs/>
          <w:iCs/>
          <w:szCs w:val="22"/>
        </w:rPr>
        <w:t>, da eseguirsi con metodi di modellazione e gestione informativa e con l’uso di materiali e tecniche a ridotto impatto ambientale, conformi al D.M Ambiente Tutela del Territorio e del Mare 11/10/2017.</w:t>
      </w:r>
      <w:r>
        <w:rPr>
          <w:rFonts w:ascii="Arial" w:hAnsi="Arial" w:cs="Arial"/>
          <w:bCs/>
          <w:iCs/>
          <w:szCs w:val="22"/>
        </w:rPr>
        <w:t xml:space="preserve"> CUP G36E19000080001 – CIG 8092796287 – CPV 71250000-5.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7578C2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bookmarkStart w:id="1" w:name="_GoBack"/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bookmarkEnd w:id="1"/>
      <w:r w:rsidR="009C2D67">
        <w:rPr>
          <w:rFonts w:ascii="Arial" w:hAnsi="Arial" w:cs="Arial"/>
        </w:rPr>
        <w:fldChar w:fldCharType="end"/>
      </w:r>
      <w:bookmarkEnd w:id="0"/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nato/a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il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 w:rsidR="009C2D67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t>(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 w:rsidR="009C2D67">
        <w:rPr>
          <w:rFonts w:ascii="Arial" w:hAnsi="Arial" w:cs="Arial"/>
        </w:rPr>
        <w:t xml:space="preserve">.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in qualità di:</w:t>
      </w:r>
    </w:p>
    <w:p w:rsidR="007578C2" w:rsidRPr="007578C2" w:rsidRDefault="009C2D67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</w:rPr>
        <w:instrText xml:space="preserve"> FORMCHECKBOX </w:instrText>
      </w:r>
      <w:r w:rsidR="00434FD1">
        <w:rPr>
          <w:rFonts w:ascii="Arial" w:hAnsi="Arial" w:cs="Arial"/>
        </w:rPr>
      </w:r>
      <w:r w:rsidR="00434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9C2D67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34FD1">
        <w:rPr>
          <w:rFonts w:ascii="Arial" w:hAnsi="Arial" w:cs="Arial"/>
        </w:rPr>
      </w:r>
      <w:r w:rsidR="00434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 xml:space="preserve">)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EF7BFA" w:rsidRDefault="00EF7BFA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C14736" w:rsidRP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lastRenderedPageBreak/>
        <w:t>SI CONVIENE E SI STIPULA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34FD1">
        <w:rPr>
          <w:rFonts w:ascii="Arial" w:hAnsi="Arial" w:cs="Arial"/>
        </w:rPr>
      </w:r>
      <w:r w:rsidR="00434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non sussitono relazioni di parentela o affinità con i dipendenti dell’Agenzia del Demanio</w:t>
      </w:r>
      <w:r w:rsidR="007578C2" w:rsidRPr="007578C2">
        <w:rPr>
          <w:rFonts w:ascii="Arial" w:hAnsi="Arial" w:cs="Arial"/>
        </w:rPr>
        <w:t>;</w:t>
      </w:r>
    </w:p>
    <w:p w:rsidR="007578C2" w:rsidRPr="009C2D67" w:rsidRDefault="007578C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r w:rsidRPr="009C2D67">
        <w:rPr>
          <w:rFonts w:ascii="Arial" w:hAnsi="Arial" w:cs="Arial"/>
          <w:b/>
          <w:u w:val="single"/>
        </w:rPr>
        <w:t>ovvero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34FD1">
        <w:rPr>
          <w:rFonts w:ascii="Arial" w:hAnsi="Arial" w:cs="Arial"/>
        </w:rPr>
      </w:r>
      <w:r w:rsidR="00434F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="007578C2"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193A14" w:rsidRPr="00193A14" w:rsidRDefault="00193A14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5678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95" w:right="1134" w:bottom="1361" w:left="1134" w:header="3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D1" w:rsidRDefault="00434FD1">
      <w:r>
        <w:separator/>
      </w:r>
    </w:p>
  </w:endnote>
  <w:endnote w:type="continuationSeparator" w:id="0">
    <w:p w:rsidR="00434FD1" w:rsidRDefault="004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64721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E5268C" w:rsidRPr="00E5268C">
      <w:rPr>
        <w:rFonts w:ascii="Arial" w:hAnsi="Arial" w:cs="Arial"/>
        <w:noProof/>
        <w:sz w:val="20"/>
        <w:szCs w:val="20"/>
        <w:lang w:val="it-IT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436166" w:rsidRPr="001F387D" w:rsidRDefault="0043616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9A6B9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E5268C" w:rsidRPr="00E5268C">
      <w:rPr>
        <w:rFonts w:ascii="Arial" w:hAnsi="Arial" w:cs="Arial"/>
        <w:noProof/>
        <w:sz w:val="20"/>
        <w:szCs w:val="20"/>
        <w:lang w:val="it-IT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436166" w:rsidRPr="009A6B9A" w:rsidRDefault="00436166" w:rsidP="009A6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D1" w:rsidRDefault="00434FD1">
      <w:r>
        <w:separator/>
      </w:r>
    </w:p>
  </w:footnote>
  <w:footnote w:type="continuationSeparator" w:id="0">
    <w:p w:rsidR="00434FD1" w:rsidRDefault="00434FD1">
      <w:r>
        <w:continuationSeparator/>
      </w:r>
    </w:p>
  </w:footnote>
  <w:footnote w:id="1">
    <w:p w:rsidR="00193A14" w:rsidRPr="004B3AB0" w:rsidRDefault="00193A14" w:rsidP="00193A14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5678C2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193A14" w:rsidRPr="004B3AB0" w:rsidRDefault="00193A14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93A14" w:rsidRDefault="00193A14" w:rsidP="00193A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5678C2" w:rsidRDefault="005678C2" w:rsidP="005678C2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  <w:r w:rsidRPr="005678C2">
      <w:rPr>
        <w:rFonts w:ascii="Arial" w:hAnsi="Arial" w:cs="Arial"/>
        <w:sz w:val="20"/>
        <w:szCs w:val="20"/>
      </w:rPr>
      <w:t>Allegato 3.5  Patto di integrità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C2" w:rsidRPr="00006C5F" w:rsidRDefault="00436166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8C2">
      <w:rPr>
        <w:rFonts w:ascii="Arial" w:hAnsi="Arial" w:cs="Arial"/>
        <w:color w:val="808080"/>
        <w:sz w:val="20"/>
        <w:szCs w:val="20"/>
      </w:rPr>
      <w:tab/>
    </w:r>
    <w:r w:rsidR="005678C2" w:rsidRPr="00006C5F">
      <w:rPr>
        <w:rFonts w:ascii="Arial" w:hAnsi="Arial" w:cs="Arial"/>
        <w:sz w:val="20"/>
        <w:szCs w:val="20"/>
      </w:rPr>
      <w:t xml:space="preserve">Allegato </w:t>
    </w:r>
    <w:r w:rsidR="005678C2">
      <w:rPr>
        <w:rFonts w:ascii="Arial" w:hAnsi="Arial" w:cs="Arial"/>
        <w:sz w:val="20"/>
        <w:szCs w:val="20"/>
      </w:rPr>
      <w:t>3.5  Patto di integrità</w:t>
    </w:r>
  </w:p>
  <w:p w:rsidR="00436166" w:rsidRDefault="00436166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" o:bullet="t">
        <v:imagedata r:id="rId1" o:title="mso2"/>
      </v:shape>
    </w:pict>
  </w:numPicBullet>
  <w:numPicBullet w:numPicBulletId="1">
    <w:pict>
      <v:shape id="_x0000_i1055" type="#_x0000_t75" alt="Rosone" style="width:11.2pt;height:12.15pt;visibility:visible" o:bullet="t">
        <v:imagedata r:id="rId2" o:title="Rosone"/>
      </v:shape>
    </w:pict>
  </w:numPicBullet>
  <w:abstractNum w:abstractNumId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t5Kt1/aaQUsv3uV+Ct4iR3V9vc=" w:salt="iD12NM84njMHpcAU7qW6h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3D3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2173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07B3A"/>
    <w:rsid w:val="00113D12"/>
    <w:rsid w:val="00121F60"/>
    <w:rsid w:val="00125C3E"/>
    <w:rsid w:val="00127174"/>
    <w:rsid w:val="00127C6F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05C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4FD1"/>
    <w:rsid w:val="00435DAD"/>
    <w:rsid w:val="00436166"/>
    <w:rsid w:val="00441651"/>
    <w:rsid w:val="00441DA6"/>
    <w:rsid w:val="0044276E"/>
    <w:rsid w:val="00442BB9"/>
    <w:rsid w:val="00452E89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48A"/>
    <w:rsid w:val="004B18E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678C2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8D9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506D"/>
    <w:rsid w:val="00686258"/>
    <w:rsid w:val="0068639F"/>
    <w:rsid w:val="00692DDD"/>
    <w:rsid w:val="00694E85"/>
    <w:rsid w:val="00697CD1"/>
    <w:rsid w:val="006A05D1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1B72"/>
    <w:rsid w:val="00873864"/>
    <w:rsid w:val="00875AD1"/>
    <w:rsid w:val="00876EDA"/>
    <w:rsid w:val="00884FAD"/>
    <w:rsid w:val="00893051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7089F"/>
    <w:rsid w:val="0097217D"/>
    <w:rsid w:val="00973BE1"/>
    <w:rsid w:val="009761BF"/>
    <w:rsid w:val="009807F7"/>
    <w:rsid w:val="009838F1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7603"/>
    <w:rsid w:val="009C1B7A"/>
    <w:rsid w:val="009C2D67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0B7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276E"/>
    <w:rsid w:val="00A43230"/>
    <w:rsid w:val="00A50EE3"/>
    <w:rsid w:val="00A51EC6"/>
    <w:rsid w:val="00A5222D"/>
    <w:rsid w:val="00A54ABE"/>
    <w:rsid w:val="00A56EB8"/>
    <w:rsid w:val="00A6156F"/>
    <w:rsid w:val="00A62580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0E99"/>
    <w:rsid w:val="00B7167A"/>
    <w:rsid w:val="00B71A40"/>
    <w:rsid w:val="00B7304C"/>
    <w:rsid w:val="00B7521C"/>
    <w:rsid w:val="00B76E7F"/>
    <w:rsid w:val="00B81495"/>
    <w:rsid w:val="00B846E0"/>
    <w:rsid w:val="00B84B64"/>
    <w:rsid w:val="00B860CF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06A94"/>
    <w:rsid w:val="00C119E8"/>
    <w:rsid w:val="00C12A5F"/>
    <w:rsid w:val="00C14736"/>
    <w:rsid w:val="00C17335"/>
    <w:rsid w:val="00C214DB"/>
    <w:rsid w:val="00C23681"/>
    <w:rsid w:val="00C31CF4"/>
    <w:rsid w:val="00C33798"/>
    <w:rsid w:val="00C34B8D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7DBB"/>
    <w:rsid w:val="00D703C4"/>
    <w:rsid w:val="00D71CB6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268C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EF7BFA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4849"/>
    <w:rsid w:val="00FD66E9"/>
    <w:rsid w:val="00FE16CF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DEAA-3EE9-44AD-B536-3FD8E1B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4</cp:revision>
  <cp:lastPrinted>2018-11-30T14:24:00Z</cp:lastPrinted>
  <dcterms:created xsi:type="dcterms:W3CDTF">2019-11-13T14:10:00Z</dcterms:created>
  <dcterms:modified xsi:type="dcterms:W3CDTF">2019-11-14T11:32:00Z</dcterms:modified>
</cp:coreProperties>
</file>