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136070">
        <w:rPr>
          <w:rFonts w:ascii="Arial" w:hAnsi="Arial" w:cs="Arial"/>
          <w:bCs/>
          <w:sz w:val="22"/>
          <w:szCs w:val="22"/>
        </w:rPr>
        <w:t>Roma Capitale</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bookmarkStart w:id="1" w:name="_GoBack"/>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bookmarkEnd w:id="1"/>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sidRPr="00C7507E">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C7507E">
        <w:rPr>
          <w:rFonts w:ascii="Arial" w:hAnsi="Arial" w:cs="Arial"/>
          <w:sz w:val="22"/>
          <w:szCs w:val="22"/>
        </w:rPr>
        <w:fldChar w:fldCharType="end"/>
      </w:r>
      <w:bookmarkEnd w:id="2"/>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136070" w:rsidRPr="00136070" w:rsidRDefault="00C7507E" w:rsidP="00136070">
      <w:pPr>
        <w:autoSpaceDE w:val="0"/>
        <w:autoSpaceDN w:val="0"/>
        <w:adjustRightInd w:val="0"/>
        <w:rPr>
          <w:rFonts w:ascii="Arial" w:hAnsi="Arial" w:cs="Arial"/>
          <w:bCs/>
          <w:sz w:val="22"/>
          <w:szCs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ai sensi dell’art. 60 del d.lgs. 50/2016 e </w:t>
      </w:r>
      <w:r w:rsidR="00136070">
        <w:rPr>
          <w:rFonts w:ascii="Arial" w:hAnsi="Arial" w:cs="Arial"/>
          <w:bCs/>
          <w:sz w:val="22"/>
          <w:szCs w:val="22"/>
        </w:rPr>
        <w:t>ss.mm.ii., per l’affidamento dei</w:t>
      </w:r>
      <w:r w:rsidRPr="00C7507E">
        <w:rPr>
          <w:rFonts w:ascii="Arial" w:hAnsi="Arial" w:cs="Arial"/>
          <w:bCs/>
          <w:sz w:val="22"/>
          <w:szCs w:val="22"/>
        </w:rPr>
        <w:t xml:space="preserve"> </w:t>
      </w:r>
      <w:r w:rsidR="00136070" w:rsidRPr="00136070">
        <w:rPr>
          <w:rFonts w:ascii="Arial" w:hAnsi="Arial" w:cs="Arial"/>
          <w:bCs/>
          <w:sz w:val="22"/>
          <w:szCs w:val="22"/>
        </w:rPr>
        <w:t>servizi tecnici di progettazione definitiva ed esecutiva, di coordinamento per la sicurezza in fase di progettazione, di archeologia e geologia, finalizzati alla realizzazione del polo archivistico in uso al Ministero dell’Economia e delle Finanze, e dell’area comune di accesso.</w:t>
      </w:r>
    </w:p>
    <w:p w:rsidR="00C7507E" w:rsidRPr="00C7507E" w:rsidRDefault="00C7507E" w:rsidP="00136070">
      <w:pPr>
        <w:rPr>
          <w:rFonts w:ascii="Arial" w:hAnsi="Arial" w:cs="Arial"/>
          <w:b/>
        </w:rPr>
      </w:pP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00136070">
        <w:rPr>
          <w:rFonts w:ascii="Arial" w:hAnsi="Arial" w:cs="Arial"/>
          <w:i/>
          <w:sz w:val="22"/>
          <w:szCs w:val="22"/>
        </w:rPr>
        <w:t>nel caso di professionista si</w:t>
      </w:r>
      <w:r w:rsidRPr="00C7507E">
        <w:rPr>
          <w:rFonts w:ascii="Arial" w:hAnsi="Arial" w:cs="Arial"/>
          <w:i/>
          <w:sz w:val="22"/>
          <w:szCs w:val="22"/>
        </w:rPr>
        <w:t>n</w:t>
      </w:r>
      <w:r w:rsidR="00136070">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7"/>
      </w:r>
      <w:r w:rsidR="00885716" w:rsidRPr="00C7507E">
        <w:rPr>
          <w:rStyle w:val="Rimandonotaapidipagina"/>
          <w:rFonts w:ascii="Arial" w:hAnsi="Arial" w:cs="Arial"/>
          <w:sz w:val="22"/>
          <w:szCs w:val="22"/>
        </w:rPr>
        <w:footnoteReference w:id="8"/>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gli estremi di iscrizione nell’albo professionale di riferimento</w:t>
      </w:r>
      <w:r w:rsidR="007D0637">
        <w:rPr>
          <w:rFonts w:ascii="Arial" w:hAnsi="Arial" w:cs="Arial"/>
        </w:rPr>
        <w:t>,</w:t>
      </w:r>
      <w:r w:rsidR="00136070">
        <w:rPr>
          <w:rFonts w:ascii="Arial" w:hAnsi="Arial" w:cs="Arial"/>
        </w:rPr>
        <w:t xml:space="preserve"> oltre alla Sezione </w:t>
      </w:r>
      <w:r w:rsidR="007D0637">
        <w:rPr>
          <w:rFonts w:ascii="Arial" w:hAnsi="Arial" w:cs="Arial"/>
        </w:rPr>
        <w:t xml:space="preserve">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136070" w:rsidRPr="00C7507E">
        <w:rPr>
          <w:rFonts w:ascii="Arial" w:hAnsi="Arial" w:cs="Arial"/>
        </w:rPr>
        <w:t>indicare il titolo di studio, gli estremi di iscrizione nell’albo professionale di riferimento</w:t>
      </w:r>
      <w:r w:rsidR="00136070">
        <w:rPr>
          <w:rFonts w:ascii="Arial" w:hAnsi="Arial" w:cs="Arial"/>
        </w:rPr>
        <w:t xml:space="preserve">, oltre alla Sezione e il relativo settore, </w:t>
      </w:r>
      <w:r w:rsidR="00136070" w:rsidRPr="00C7507E">
        <w:rPr>
          <w:rFonts w:ascii="Arial" w:hAnsi="Arial" w:cs="Arial"/>
        </w:rPr>
        <w:t>nonché gli eventuali ulteriori requisiti richiesti per la specifica figura professionale indicata nel gruppo di lavoro di cui al disciplinare, tra cui abilitazioni e certificazioni possedute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136070" w:rsidRPr="00C7507E">
        <w:rPr>
          <w:rFonts w:ascii="Arial" w:hAnsi="Arial" w:cs="Arial"/>
        </w:rPr>
        <w:t>indicare il titolo di studio, gli estremi di iscrizione nell’albo professionale di riferimento</w:t>
      </w:r>
      <w:r w:rsidR="00136070">
        <w:rPr>
          <w:rFonts w:ascii="Arial" w:hAnsi="Arial" w:cs="Arial"/>
        </w:rPr>
        <w:t xml:space="preserve">, oltre alla Sezione e il relativo settore, </w:t>
      </w:r>
      <w:r w:rsidR="00136070" w:rsidRPr="00C7507E">
        <w:rPr>
          <w:rFonts w:ascii="Arial" w:hAnsi="Arial" w:cs="Arial"/>
        </w:rPr>
        <w:t>nonché gli eventuali ulteriori requisiti richiesti per la specifica figura professionale indicata nel gruppo di lavoro di cui al disciplinare, tra cui abilitazioni e certificazioni possedute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rPr>
        <w:lastRenderedPageBreak/>
        <w:t>(</w:t>
      </w:r>
      <w:r w:rsidR="00136070" w:rsidRPr="00C7507E">
        <w:rPr>
          <w:rFonts w:ascii="Arial" w:hAnsi="Arial" w:cs="Arial"/>
        </w:rPr>
        <w:t>indicare il titolo di studio, gli estremi di iscrizione nell’albo professionale di riferimento</w:t>
      </w:r>
      <w:r w:rsidR="00136070">
        <w:rPr>
          <w:rFonts w:ascii="Arial" w:hAnsi="Arial" w:cs="Arial"/>
        </w:rPr>
        <w:t xml:space="preserve">, oltre alla Sezione e il relativo settore, </w:t>
      </w:r>
      <w:r w:rsidR="00136070" w:rsidRPr="00C7507E">
        <w:rPr>
          <w:rFonts w:ascii="Arial" w:hAnsi="Arial" w:cs="Arial"/>
        </w:rPr>
        <w:t>nonché gli eventuali ulteriori requisiti richiesti per la specifica figura professionale indicata nel gruppo di lavoro di cui al disciplinare, tra cui abilitazioni e certificazioni possedute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136070" w:rsidRPr="00C7507E">
        <w:rPr>
          <w:rFonts w:ascii="Arial" w:hAnsi="Arial" w:cs="Arial"/>
        </w:rPr>
        <w:t>indicare il titolo di studio, gli estremi di iscrizione nell’albo professionale di riferimento</w:t>
      </w:r>
      <w:r w:rsidR="00136070">
        <w:rPr>
          <w:rFonts w:ascii="Arial" w:hAnsi="Arial" w:cs="Arial"/>
        </w:rPr>
        <w:t xml:space="preserve">, oltre alla Sezione e il relativo settore, </w:t>
      </w:r>
      <w:r w:rsidR="00136070" w:rsidRPr="00C7507E">
        <w:rPr>
          <w:rFonts w:ascii="Arial" w:hAnsi="Arial" w:cs="Arial"/>
        </w:rPr>
        <w:t>nonché gli eventuali ulteriori requisiti richiesti per la specifica figura professionale indicata nel gruppo di lavoro di cui al disciplinare, tra cui abilitazioni e certificazioni possedute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136070" w:rsidRPr="00C7507E">
        <w:rPr>
          <w:rFonts w:ascii="Arial" w:hAnsi="Arial" w:cs="Arial"/>
        </w:rPr>
        <w:t>indicare il titolo di studio, gli estremi di iscrizione nell’albo professionale di riferimento</w:t>
      </w:r>
      <w:r w:rsidR="00136070">
        <w:rPr>
          <w:rFonts w:ascii="Arial" w:hAnsi="Arial" w:cs="Arial"/>
        </w:rPr>
        <w:t xml:space="preserve">, oltre alla Sezione e il relativo settore, </w:t>
      </w:r>
      <w:r w:rsidR="00136070" w:rsidRPr="00C7507E">
        <w:rPr>
          <w:rFonts w:ascii="Arial" w:hAnsi="Arial" w:cs="Arial"/>
        </w:rPr>
        <w:t>nonché gli eventuali ulteriori requisiti richiesti per la specifica figura professionale indicata nel gruppo di lavoro di cui al disciplinare, tra cui abilitazioni e certificazioni possedute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136070" w:rsidRPr="00C7507E">
        <w:rPr>
          <w:rFonts w:ascii="Arial" w:hAnsi="Arial" w:cs="Arial"/>
        </w:rPr>
        <w:t>indicare il titolo di studio, gli estremi di iscrizione nell’albo professionale di riferimento</w:t>
      </w:r>
      <w:r w:rsidR="00136070">
        <w:rPr>
          <w:rFonts w:ascii="Arial" w:hAnsi="Arial" w:cs="Arial"/>
        </w:rPr>
        <w:t xml:space="preserve">, oltre alla Sezione e il relativo settore, </w:t>
      </w:r>
      <w:r w:rsidR="00136070" w:rsidRPr="00C7507E">
        <w:rPr>
          <w:rFonts w:ascii="Arial" w:hAnsi="Arial" w:cs="Arial"/>
        </w:rPr>
        <w:t>nonché gli eventuali ulteriori requisiti richiesti per la specifica figura professionale indicata nel gruppo di lavoro di cui al disciplinare, tra cui abilitazioni e certificazioni possedute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F39EA" w:rsidRPr="00EC7838" w:rsidRDefault="00C7507E" w:rsidP="00BF39EA">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136070" w:rsidRPr="009C010B">
        <w:rPr>
          <w:rFonts w:ascii="Arial" w:hAnsi="Arial" w:cs="Arial"/>
          <w:i/>
        </w:rPr>
        <w:t xml:space="preserve">(nel caso di raggruppamenti temporanei) </w:t>
      </w:r>
      <w:r w:rsidR="00136070" w:rsidRPr="009C010B">
        <w:rPr>
          <w:rFonts w:ascii="Arial" w:hAnsi="Arial" w:cs="Arial"/>
        </w:rPr>
        <w:t xml:space="preserve">in ragione di quanto previsto all’art. 4 del Decreto del Ministero delle Infrastrutture e dei Trasporti n. 263 del 2 dicembre 2016 (GU n. 36 del 13 febbraio 2017) giovane professionista è  </w:t>
      </w:r>
      <w:r w:rsidR="00136070" w:rsidRPr="009C010B">
        <w:rPr>
          <w:rFonts w:ascii="Arial" w:hAnsi="Arial" w:cs="Arial"/>
        </w:rPr>
        <w:fldChar w:fldCharType="begin">
          <w:ffData>
            <w:name w:val="Testo1"/>
            <w:enabled/>
            <w:calcOnExit w:val="0"/>
            <w:textInput/>
          </w:ffData>
        </w:fldChar>
      </w:r>
      <w:r w:rsidR="00136070" w:rsidRPr="009C010B">
        <w:rPr>
          <w:rFonts w:ascii="Arial" w:hAnsi="Arial" w:cs="Arial"/>
        </w:rPr>
        <w:instrText xml:space="preserve"> FORMTEXT </w:instrText>
      </w:r>
      <w:r w:rsidR="00136070" w:rsidRPr="009C010B">
        <w:rPr>
          <w:rFonts w:ascii="Arial" w:hAnsi="Arial" w:cs="Arial"/>
        </w:rPr>
      </w:r>
      <w:r w:rsidR="00136070" w:rsidRPr="009C010B">
        <w:rPr>
          <w:rFonts w:ascii="Arial" w:hAnsi="Arial" w:cs="Arial"/>
        </w:rPr>
        <w:fldChar w:fldCharType="separate"/>
      </w:r>
      <w:r w:rsidR="00136070" w:rsidRPr="00C7507E">
        <w:rPr>
          <w:rFonts w:ascii="Arial" w:hAnsi="Arial" w:cs="Arial"/>
          <w:noProof/>
        </w:rPr>
        <w:t> </w:t>
      </w:r>
      <w:r w:rsidR="00136070" w:rsidRPr="00C7507E">
        <w:rPr>
          <w:rFonts w:ascii="Arial" w:hAnsi="Arial" w:cs="Arial"/>
          <w:noProof/>
        </w:rPr>
        <w:t> </w:t>
      </w:r>
      <w:r w:rsidR="00136070" w:rsidRPr="00C7507E">
        <w:rPr>
          <w:rFonts w:ascii="Arial" w:hAnsi="Arial" w:cs="Arial"/>
          <w:noProof/>
        </w:rPr>
        <w:t> </w:t>
      </w:r>
      <w:r w:rsidR="00136070" w:rsidRPr="00C7507E">
        <w:rPr>
          <w:rFonts w:ascii="Arial" w:hAnsi="Arial" w:cs="Arial"/>
          <w:noProof/>
        </w:rPr>
        <w:t> </w:t>
      </w:r>
      <w:r w:rsidR="00136070" w:rsidRPr="00C7507E">
        <w:rPr>
          <w:rFonts w:ascii="Arial" w:hAnsi="Arial" w:cs="Arial"/>
          <w:noProof/>
        </w:rPr>
        <w:t> </w:t>
      </w:r>
      <w:r w:rsidR="00136070" w:rsidRPr="009C010B">
        <w:rPr>
          <w:rFonts w:ascii="Arial" w:hAnsi="Arial" w:cs="Arial"/>
        </w:rPr>
        <w:fldChar w:fldCharType="end"/>
      </w:r>
      <w:r w:rsidR="00136070" w:rsidRPr="009C010B">
        <w:rPr>
          <w:rFonts w:ascii="Arial" w:hAnsi="Arial" w:cs="Arial"/>
        </w:rPr>
        <w:t xml:space="preserve"> (</w:t>
      </w:r>
      <w:r w:rsidR="00136070" w:rsidRPr="009C010B">
        <w:rPr>
          <w:rFonts w:ascii="Arial" w:hAnsi="Arial" w:cs="Arial"/>
          <w:i/>
        </w:rPr>
        <w:t xml:space="preserve">indicare i dati identificativi del giovane professionista, titolo di studio, data di abilitazione ed estremi di iscrizione al </w:t>
      </w:r>
      <w:r w:rsidR="00136070" w:rsidRPr="00EC7838">
        <w:rPr>
          <w:rFonts w:ascii="Arial" w:hAnsi="Arial" w:cs="Arial"/>
          <w:i/>
        </w:rPr>
        <w:t>relativo Ordine Professionale)</w:t>
      </w:r>
      <w:r w:rsidRPr="00EC7838">
        <w:rPr>
          <w:rFonts w:ascii="Arial" w:hAnsi="Arial" w:cs="Arial"/>
        </w:rPr>
        <w:t>;</w:t>
      </w:r>
    </w:p>
    <w:p w:rsidR="00BF39EA" w:rsidRPr="00EC7838" w:rsidRDefault="00BF39EA" w:rsidP="00BF39EA">
      <w:pPr>
        <w:widowControl w:val="0"/>
        <w:rPr>
          <w:rFonts w:ascii="Arial" w:hAnsi="Arial" w:cs="Arial"/>
          <w:sz w:val="22"/>
        </w:rPr>
      </w:pPr>
    </w:p>
    <w:p w:rsidR="00D80F27" w:rsidRPr="00EC7838" w:rsidRDefault="00BE66F9" w:rsidP="00136070">
      <w:pPr>
        <w:widowControl w:val="0"/>
        <w:numPr>
          <w:ilvl w:val="0"/>
          <w:numId w:val="5"/>
        </w:numPr>
        <w:ind w:left="426"/>
        <w:rPr>
          <w:rFonts w:ascii="Arial" w:hAnsi="Arial" w:cs="Arial"/>
          <w:sz w:val="22"/>
          <w:szCs w:val="22"/>
        </w:rPr>
      </w:pPr>
      <w:r w:rsidRPr="00EC7838">
        <w:rPr>
          <w:rFonts w:ascii="Arial" w:hAnsi="Arial" w:cs="Arial"/>
          <w:sz w:val="22"/>
          <w:szCs w:val="22"/>
        </w:rPr>
        <w:t xml:space="preserve">di accettare il contenuto degli elaborati tecnici messi a disposizione della Stazione appaltante; </w:t>
      </w:r>
    </w:p>
    <w:p w:rsidR="00D80F27" w:rsidRPr="00EC7838" w:rsidRDefault="00D80F27" w:rsidP="00136070">
      <w:pPr>
        <w:widowControl w:val="0"/>
        <w:numPr>
          <w:ilvl w:val="0"/>
          <w:numId w:val="5"/>
        </w:numPr>
        <w:ind w:left="426"/>
        <w:rPr>
          <w:rFonts w:ascii="Arial" w:hAnsi="Arial" w:cs="Arial"/>
          <w:sz w:val="22"/>
          <w:szCs w:val="22"/>
        </w:rPr>
      </w:pPr>
      <w:r w:rsidRPr="00EC7838">
        <w:rPr>
          <w:rFonts w:ascii="Arial" w:hAnsi="Arial" w:cs="Arial"/>
          <w:sz w:val="22"/>
          <w:szCs w:val="22"/>
        </w:rPr>
        <w:t>di ritenere remunerativa l’offerta economica presentata giacché per la sua formulazione ha preso atto e tenuto conto:</w:t>
      </w:r>
    </w:p>
    <w:p w:rsidR="00D80F27" w:rsidRPr="00EC7838" w:rsidRDefault="00D80F27" w:rsidP="00136070">
      <w:pPr>
        <w:widowControl w:val="0"/>
        <w:numPr>
          <w:ilvl w:val="0"/>
          <w:numId w:val="5"/>
        </w:numPr>
        <w:ind w:left="426"/>
        <w:rPr>
          <w:rFonts w:ascii="Arial" w:hAnsi="Arial" w:cs="Arial"/>
          <w:sz w:val="22"/>
          <w:szCs w:val="22"/>
        </w:rPr>
      </w:pPr>
      <w:r w:rsidRPr="00EC7838">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EC7838" w:rsidRDefault="00D80F27" w:rsidP="00136070">
      <w:pPr>
        <w:widowControl w:val="0"/>
        <w:numPr>
          <w:ilvl w:val="0"/>
          <w:numId w:val="5"/>
        </w:numPr>
        <w:ind w:left="426"/>
        <w:rPr>
          <w:rFonts w:ascii="Arial" w:hAnsi="Arial" w:cs="Arial"/>
          <w:sz w:val="22"/>
          <w:szCs w:val="22"/>
        </w:rPr>
      </w:pPr>
      <w:r w:rsidRPr="00EC7838">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EC7838" w:rsidRDefault="00D80F27" w:rsidP="00136070">
      <w:pPr>
        <w:widowControl w:val="0"/>
        <w:numPr>
          <w:ilvl w:val="0"/>
          <w:numId w:val="5"/>
        </w:numPr>
        <w:ind w:left="426"/>
        <w:rPr>
          <w:rFonts w:ascii="Arial" w:hAnsi="Arial" w:cs="Arial"/>
          <w:sz w:val="22"/>
          <w:szCs w:val="22"/>
        </w:rPr>
      </w:pPr>
      <w:r w:rsidRPr="00EC7838">
        <w:rPr>
          <w:rFonts w:ascii="Arial" w:hAnsi="Arial" w:cs="Arial"/>
          <w:sz w:val="22"/>
          <w:szCs w:val="22"/>
        </w:rPr>
        <w:t>di accettare, senza condizione o riserva alcuna, tutte le norme e disposizioni contenute nella documentazione gara;</w:t>
      </w:r>
    </w:p>
    <w:p w:rsidR="00356E62" w:rsidRPr="00EC7838" w:rsidRDefault="00BE66F9" w:rsidP="00136070">
      <w:pPr>
        <w:widowControl w:val="0"/>
        <w:numPr>
          <w:ilvl w:val="0"/>
          <w:numId w:val="5"/>
        </w:numPr>
        <w:ind w:left="426"/>
        <w:rPr>
          <w:rFonts w:ascii="Arial" w:hAnsi="Arial" w:cs="Arial"/>
          <w:sz w:val="22"/>
          <w:szCs w:val="22"/>
        </w:rPr>
      </w:pPr>
      <w:r w:rsidRPr="00EC7838">
        <w:rPr>
          <w:rFonts w:ascii="Arial" w:hAnsi="Arial" w:cs="Arial"/>
          <w:sz w:val="22"/>
          <w:szCs w:val="22"/>
        </w:rPr>
        <w:t xml:space="preserve">che l’offerta è valida e vincolante per 240 giorni consecutivi a decorrere dalla scadenza del termine per la presentazione delle offerte; </w:t>
      </w:r>
    </w:p>
    <w:p w:rsidR="00BE66F9" w:rsidRPr="00136070" w:rsidRDefault="00E42383" w:rsidP="00136070">
      <w:pPr>
        <w:widowControl w:val="0"/>
        <w:numPr>
          <w:ilvl w:val="0"/>
          <w:numId w:val="5"/>
        </w:numPr>
        <w:ind w:left="426"/>
        <w:rPr>
          <w:rFonts w:ascii="Arial" w:hAnsi="Arial" w:cs="Arial"/>
          <w:sz w:val="22"/>
          <w:szCs w:val="22"/>
        </w:rPr>
      </w:pPr>
      <w:r w:rsidRPr="00EC7838">
        <w:rPr>
          <w:rFonts w:ascii="Arial" w:hAnsi="Arial" w:cs="Arial"/>
          <w:sz w:val="22"/>
          <w:szCs w:val="22"/>
        </w:rPr>
        <w:fldChar w:fldCharType="begin">
          <w:ffData>
            <w:name w:val="Controllo1"/>
            <w:enabled/>
            <w:calcOnExit w:val="0"/>
            <w:checkBox>
              <w:sizeAuto/>
              <w:default w:val="0"/>
            </w:checkBox>
          </w:ffData>
        </w:fldChar>
      </w:r>
      <w:r w:rsidRPr="00EC7838">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EC7838">
        <w:rPr>
          <w:rFonts w:ascii="Arial" w:hAnsi="Arial" w:cs="Arial"/>
          <w:sz w:val="22"/>
          <w:szCs w:val="22"/>
        </w:rPr>
        <w:fldChar w:fldCharType="end"/>
      </w:r>
      <w:r w:rsidR="00BE66F9" w:rsidRPr="00EC7838">
        <w:rPr>
          <w:rFonts w:ascii="Arial" w:hAnsi="Arial" w:cs="Arial"/>
          <w:sz w:val="22"/>
          <w:szCs w:val="22"/>
        </w:rPr>
        <w:t xml:space="preserve"> di autorizzare, qualora un partecipante</w:t>
      </w:r>
      <w:r w:rsidR="00BE66F9" w:rsidRPr="00136070">
        <w:rPr>
          <w:rFonts w:ascii="Arial" w:hAnsi="Arial" w:cs="Arial"/>
          <w:sz w:val="22"/>
          <w:szCs w:val="22"/>
        </w:rPr>
        <w:t xml:space="preserve"> alla gara eserciti, ai sensi della legge 241/90, il diritto di accesso agli atti, ovvero il diritto di “accesso civico” ai sensi del D.Lgs. 25 maggio </w:t>
      </w:r>
      <w:r w:rsidR="00BE66F9" w:rsidRPr="00136070">
        <w:rPr>
          <w:rFonts w:ascii="Arial" w:hAnsi="Arial" w:cs="Arial"/>
          <w:sz w:val="22"/>
          <w:szCs w:val="22"/>
        </w:rPr>
        <w:lastRenderedPageBreak/>
        <w:t>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2B4962">
        <w:rPr>
          <w:rFonts w:ascii="Arial" w:hAnsi="Arial" w:cs="Arial"/>
          <w:sz w:val="22"/>
          <w:szCs w:val="22"/>
        </w:rPr>
      </w:r>
      <w:r w:rsidR="002B4962">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9"/>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BD" w:rsidRDefault="00E908BD">
      <w:r>
        <w:separator/>
      </w:r>
    </w:p>
  </w:endnote>
  <w:endnote w:type="continuationSeparator" w:id="0">
    <w:p w:rsidR="00E908BD" w:rsidRDefault="00E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2B4962">
          <w:rPr>
            <w:rFonts w:ascii="Arial" w:hAnsi="Arial" w:cs="Arial"/>
            <w:noProof/>
            <w:sz w:val="20"/>
            <w:szCs w:val="20"/>
          </w:rPr>
          <w:t>3</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2B4962">
          <w:rPr>
            <w:rFonts w:ascii="Arial" w:hAnsi="Arial" w:cs="Arial"/>
            <w:noProof/>
            <w:sz w:val="20"/>
            <w:szCs w:val="20"/>
          </w:rPr>
          <w:t>5</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Default="002206EC"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BD" w:rsidRDefault="00E908BD">
      <w:r>
        <w:separator/>
      </w:r>
    </w:p>
  </w:footnote>
  <w:footnote w:type="continuationSeparator" w:id="0">
    <w:p w:rsidR="00E908BD" w:rsidRDefault="00E908BD">
      <w:r>
        <w:continuationSeparator/>
      </w:r>
    </w:p>
  </w:footnote>
  <w:footnote w:id="1">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 </w:t>
      </w:r>
    </w:p>
  </w:footnote>
  <w:footnote w:id="4">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1B68D9" w:rsidRPr="00465B4D" w:rsidRDefault="001B68D9">
      <w:pPr>
        <w:pStyle w:val="Testonotaapidipagina"/>
        <w:rPr>
          <w:rFonts w:ascii="Arial" w:hAnsi="Arial" w:cs="Arial"/>
        </w:rPr>
      </w:pPr>
      <w:r w:rsidRPr="004D3D19">
        <w:rPr>
          <w:rStyle w:val="Rimandonotaapidipagina"/>
        </w:rPr>
        <w:footnoteRef/>
      </w:r>
      <w:r w:rsidRPr="004D3D19">
        <w:t xml:space="preserve"> </w:t>
      </w:r>
      <w:r w:rsidRPr="00465B4D">
        <w:rPr>
          <w:rFonts w:ascii="Arial" w:hAnsi="Arial" w:cs="Arial"/>
        </w:rPr>
        <w:t>cfr. nota 3</w:t>
      </w:r>
    </w:p>
  </w:footnote>
  <w:footnote w:id="6">
    <w:p w:rsidR="00475746" w:rsidRPr="00465B4D" w:rsidRDefault="00475746">
      <w:pPr>
        <w:pStyle w:val="Testonotaapidipagina"/>
        <w:rPr>
          <w:rFonts w:ascii="Arial" w:hAnsi="Arial" w:cs="Arial"/>
        </w:rPr>
      </w:pPr>
      <w:r w:rsidRPr="00465B4D">
        <w:rPr>
          <w:rFonts w:ascii="Arial" w:hAnsi="Arial" w:cs="Arial"/>
        </w:rPr>
        <w:footnoteRef/>
      </w:r>
      <w:r w:rsidR="00465B4D">
        <w:rPr>
          <w:rFonts w:ascii="Arial" w:hAnsi="Arial" w:cs="Arial"/>
        </w:rPr>
        <w:t xml:space="preserve"> c</w:t>
      </w:r>
      <w:r w:rsidRPr="00465B4D">
        <w:rPr>
          <w:rFonts w:ascii="Arial" w:hAnsi="Arial" w:cs="Arial"/>
        </w:rPr>
        <w:t xml:space="preserve">fr. nota </w:t>
      </w:r>
      <w:r w:rsidR="001B68D9" w:rsidRPr="00465B4D">
        <w:rPr>
          <w:rFonts w:ascii="Arial" w:hAnsi="Arial" w:cs="Arial"/>
        </w:rPr>
        <w:t>4</w:t>
      </w:r>
    </w:p>
  </w:footnote>
  <w:footnote w:id="7">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8">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9">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ERQsc/BCxgt2JuMGsh7yz6WNU8=" w:salt="UzbsFarsQIZp6gHW7xFNwA=="/>
  <w:defaultTabStop w:val="708"/>
  <w:hyphenationZone w:val="283"/>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3607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4962"/>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65B4D"/>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4113"/>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074B3"/>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408A"/>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838"/>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B2FD-3F22-4D78-9EA2-A091287F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35</TotalTime>
  <Pages>5</Pages>
  <Words>1792</Words>
  <Characters>10217</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11986</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GIGLIO ANNALISA</cp:lastModifiedBy>
  <cp:revision>7</cp:revision>
  <cp:lastPrinted>2019-04-26T07:04:00Z</cp:lastPrinted>
  <dcterms:created xsi:type="dcterms:W3CDTF">2020-07-02T10:35:00Z</dcterms:created>
  <dcterms:modified xsi:type="dcterms:W3CDTF">2020-07-06T07:28:00Z</dcterms:modified>
</cp:coreProperties>
</file>