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7" w:type="dxa"/>
        <w:tblInd w:w="-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7"/>
      </w:tblGrid>
      <w:tr w:rsidR="00A2225E">
        <w:trPr>
          <w:trHeight w:val="2318"/>
        </w:trPr>
        <w:tc>
          <w:tcPr>
            <w:tcW w:w="10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225E" w:rsidRDefault="007736F4" w:rsidP="00AF2438">
            <w:pPr>
              <w:spacing w:after="120" w:line="320" w:lineRule="exact"/>
              <w:rPr>
                <w:rFonts w:ascii="Arial" w:hAnsi="Arial" w:cs="Arial"/>
                <w:bCs/>
                <w:color w:val="A6A6A6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A6A6A6"/>
                <w:sz w:val="16"/>
                <w:szCs w:val="16"/>
              </w:rPr>
              <w:t xml:space="preserve">Il presente documento deve essere obbligatoriamente sottoscritto da parte del concorrente e presentato unitamente alla documentazione amministrativa. </w:t>
            </w:r>
          </w:p>
          <w:p w:rsidR="00A2225E" w:rsidRDefault="007736F4" w:rsidP="00AF2438">
            <w:pPr>
              <w:spacing w:after="120" w:line="320" w:lineRule="exact"/>
            </w:pPr>
            <w:r>
              <w:rPr>
                <w:rFonts w:ascii="Arial" w:hAnsi="Arial" w:cs="Arial"/>
                <w:bCs/>
                <w:color w:val="A6A6A6"/>
                <w:sz w:val="16"/>
                <w:szCs w:val="16"/>
              </w:rPr>
              <w:t xml:space="preserve">In caso di partecipazione in forma plurima (RTI/Consorzi </w:t>
            </w:r>
            <w:r>
              <w:rPr>
                <w:rFonts w:ascii="Arial" w:hAnsi="Arial" w:cs="Arial"/>
                <w:bCs/>
                <w:color w:val="A6A6A6"/>
                <w:sz w:val="16"/>
                <w:szCs w:val="16"/>
                <w:u w:val="single"/>
              </w:rPr>
              <w:t>ordinari</w:t>
            </w:r>
            <w:r>
              <w:rPr>
                <w:rFonts w:ascii="Arial" w:hAnsi="Arial" w:cs="Arial"/>
                <w:bCs/>
                <w:color w:val="A6A6A6"/>
                <w:sz w:val="16"/>
                <w:szCs w:val="16"/>
              </w:rPr>
              <w:t xml:space="preserve"> sia costituiti che costituendi) il Patto deve essere firmato dal legale rappresentante/procuratore speciale di </w:t>
            </w:r>
            <w:r>
              <w:rPr>
                <w:rFonts w:ascii="Arial" w:hAnsi="Arial" w:cs="Arial"/>
                <w:bCs/>
                <w:color w:val="A6A6A6"/>
                <w:sz w:val="16"/>
                <w:szCs w:val="16"/>
                <w:u w:val="single"/>
              </w:rPr>
              <w:t xml:space="preserve">ogni </w:t>
            </w:r>
            <w:r>
              <w:rPr>
                <w:rFonts w:ascii="Arial" w:hAnsi="Arial" w:cs="Arial"/>
                <w:bCs/>
                <w:color w:val="A6A6A6"/>
                <w:sz w:val="16"/>
                <w:szCs w:val="16"/>
              </w:rPr>
              <w:t xml:space="preserve">componente. </w:t>
            </w:r>
          </w:p>
          <w:p w:rsidR="00A2225E" w:rsidRDefault="007736F4" w:rsidP="00AF2438">
            <w:pPr>
              <w:spacing w:after="120" w:line="320" w:lineRule="exact"/>
            </w:pPr>
            <w:r>
              <w:rPr>
                <w:rFonts w:ascii="Arial" w:hAnsi="Arial" w:cs="Arial"/>
                <w:bCs/>
                <w:color w:val="A6A6A6"/>
                <w:sz w:val="16"/>
                <w:szCs w:val="16"/>
              </w:rPr>
              <w:t xml:space="preserve">In caso di </w:t>
            </w:r>
            <w:r>
              <w:rPr>
                <w:rFonts w:ascii="Arial" w:hAnsi="Arial" w:cs="Arial"/>
                <w:bCs/>
                <w:color w:val="A6A6A6"/>
                <w:sz w:val="16"/>
                <w:szCs w:val="16"/>
                <w:u w:val="single"/>
              </w:rPr>
              <w:t>consorzi</w:t>
            </w:r>
            <w:r>
              <w:rPr>
                <w:rFonts w:ascii="Arial" w:hAnsi="Arial" w:cs="Arial"/>
                <w:bCs/>
                <w:color w:val="A6A6A6"/>
                <w:sz w:val="16"/>
                <w:szCs w:val="16"/>
              </w:rPr>
              <w:t xml:space="preserve"> di cui all’art. 46 co. 1 lett. f) del D.Lgs. 50/2016 che partecipano </w:t>
            </w:r>
            <w:r>
              <w:rPr>
                <w:rFonts w:ascii="Arial" w:hAnsi="Arial" w:cs="Arial"/>
                <w:bCs/>
                <w:color w:val="A6A6A6"/>
                <w:sz w:val="16"/>
                <w:szCs w:val="16"/>
                <w:u w:val="single"/>
              </w:rPr>
              <w:t>in proprio</w:t>
            </w:r>
            <w:r>
              <w:rPr>
                <w:rFonts w:ascii="Arial" w:hAnsi="Arial" w:cs="Arial"/>
                <w:bCs/>
                <w:color w:val="A6A6A6"/>
                <w:sz w:val="16"/>
                <w:szCs w:val="16"/>
              </w:rPr>
              <w:t xml:space="preserve"> il Patto deve essere firmato dal legale rappresentante/procuratore speciale del consorzio. </w:t>
            </w:r>
          </w:p>
          <w:p w:rsidR="00A2225E" w:rsidRDefault="007736F4" w:rsidP="00AF2438">
            <w:pPr>
              <w:spacing w:after="120" w:line="320" w:lineRule="exact"/>
            </w:pPr>
            <w:r>
              <w:rPr>
                <w:rFonts w:ascii="Arial" w:hAnsi="Arial" w:cs="Arial"/>
                <w:bCs/>
                <w:color w:val="A6A6A6"/>
                <w:sz w:val="16"/>
                <w:szCs w:val="16"/>
              </w:rPr>
              <w:t>In caso di consorzi di cui all’art. 46 co. 1 lett. f) del D.Lgs. 50/2016 che partecipano per alcune consorziate il Patto deve essere firmato dal legale rappresentante/procuratore speciale del consorzio e delle singole consorziate esecutrici.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</w:tbl>
    <w:p w:rsidR="00A2225E" w:rsidRDefault="00A2225E" w:rsidP="00AF2438">
      <w:pPr>
        <w:spacing w:after="120" w:line="320" w:lineRule="exact"/>
        <w:jc w:val="center"/>
        <w:rPr>
          <w:rFonts w:ascii="Arial" w:hAnsi="Arial" w:cs="Arial"/>
          <w:b/>
          <w:bCs/>
        </w:rPr>
      </w:pPr>
    </w:p>
    <w:p w:rsidR="00A2225E" w:rsidRDefault="007736F4" w:rsidP="00AF2438">
      <w:pPr>
        <w:spacing w:after="120" w:line="320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PATTO DI INTEGRITA’</w:t>
      </w:r>
    </w:p>
    <w:p w:rsidR="00A2225E" w:rsidRDefault="00A2225E" w:rsidP="00AF2438">
      <w:pPr>
        <w:spacing w:after="120" w:line="320" w:lineRule="exact"/>
        <w:jc w:val="center"/>
        <w:rPr>
          <w:rFonts w:ascii="Arial" w:hAnsi="Arial" w:cs="Arial"/>
          <w:b/>
          <w:bCs/>
        </w:rPr>
      </w:pPr>
    </w:p>
    <w:p w:rsidR="00C55039" w:rsidRDefault="00C55039" w:rsidP="00C55039">
      <w:pPr>
        <w:spacing w:after="120" w:line="320" w:lineRule="exact"/>
        <w:rPr>
          <w:rFonts w:ascii="Arial" w:hAnsi="Arial" w:cs="Arial"/>
          <w:b/>
          <w:spacing w:val="40"/>
          <w:sz w:val="22"/>
          <w:szCs w:val="22"/>
        </w:rPr>
      </w:pPr>
      <w:r>
        <w:rPr>
          <w:rFonts w:ascii="Arial" w:hAnsi="Arial" w:cs="Arial"/>
          <w:b/>
          <w:spacing w:val="40"/>
          <w:sz w:val="22"/>
          <w:szCs w:val="22"/>
        </w:rPr>
        <w:t>Procedura aperta telematica, ai sensi dell’art. 60 del D.lgs. 18 aprile 2016 n.50 e ss.mm e ii. per l’affidamento del servizio di verifica della progettazione, ai sensi dell’art. 26 del medesimo decreto, per l’intervento di recupero funzionale, miglioramento/adeguamento sismico oltre che ampliamento con nuova costruzione edilizia dell’“Immobile denominato Palazzo Carcano, sito in via Beltrani 8/10 a Trani, scheda BAD0082” da destinare a sede degli uffici giudiziari di Trani.</w:t>
      </w:r>
    </w:p>
    <w:p w:rsidR="00C55039" w:rsidRDefault="00C55039" w:rsidP="00C55039">
      <w:pPr>
        <w:spacing w:after="120" w:line="320" w:lineRule="exact"/>
        <w:rPr>
          <w:rFonts w:ascii="Arial" w:hAnsi="Arial" w:cs="Arial"/>
          <w:b/>
          <w:spacing w:val="40"/>
          <w:sz w:val="22"/>
          <w:szCs w:val="22"/>
        </w:rPr>
      </w:pPr>
      <w:r>
        <w:rPr>
          <w:rFonts w:ascii="Arial" w:hAnsi="Arial" w:cs="Arial"/>
          <w:b/>
          <w:spacing w:val="40"/>
          <w:sz w:val="22"/>
          <w:szCs w:val="22"/>
        </w:rPr>
        <w:t>CUP: G73D20001770001. CIG: 9514416875.</w:t>
      </w:r>
    </w:p>
    <w:p w:rsidR="00A2225E" w:rsidRDefault="007736F4" w:rsidP="00AF2438">
      <w:pPr>
        <w:spacing w:before="240" w:after="120" w:line="320" w:lineRule="exact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tra</w:t>
      </w:r>
    </w:p>
    <w:p w:rsidR="00A2225E" w:rsidRDefault="007736F4" w:rsidP="00AF2438">
      <w:pPr>
        <w:spacing w:before="100" w:after="120" w:line="32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l’Agenzia del Demanio </w:t>
      </w:r>
    </w:p>
    <w:p w:rsidR="00A2225E" w:rsidRDefault="007736F4" w:rsidP="00AF2438">
      <w:pPr>
        <w:spacing w:before="100" w:after="120" w:line="320" w:lineRule="exact"/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</w:p>
    <w:p w:rsidR="00A2225E" w:rsidRDefault="007736F4" w:rsidP="00AF2438">
      <w:pPr>
        <w:spacing w:before="100" w:after="120" w:line="320" w:lineRule="exact"/>
      </w:pPr>
      <w:r>
        <w:rPr>
          <w:rFonts w:ascii="Arial" w:hAnsi="Arial" w:cs="Arial"/>
        </w:rPr>
        <w:t xml:space="preserve">Il/La sottoscritto/a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nato/a a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il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CF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residente a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), via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n.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 in qualità di:</w:t>
      </w:r>
    </w:p>
    <w:p w:rsidR="00A2225E" w:rsidRDefault="007736F4" w:rsidP="00AF2438">
      <w:pPr>
        <w:spacing w:after="120" w:line="320" w:lineRule="exact"/>
        <w:ind w:left="709"/>
      </w:pPr>
      <w:r>
        <w:rPr>
          <w:rFonts w:ascii="Arial" w:hAnsi="Arial" w:cs="Arial"/>
          <w:i/>
        </w:rPr>
        <w:t>(se del caso)</w:t>
      </w:r>
      <w:r>
        <w:rPr>
          <w:rFonts w:ascii="Arial" w:hAnsi="Arial" w:cs="Arial"/>
        </w:rPr>
        <w:t xml:space="preserve"> legale rappresentante;</w:t>
      </w:r>
      <w:r>
        <w:rPr>
          <w:rFonts w:ascii="Arial" w:hAnsi="Arial" w:cs="Arial"/>
          <w:i/>
        </w:rPr>
        <w:t xml:space="preserve"> </w:t>
      </w:r>
    </w:p>
    <w:p w:rsidR="00A2225E" w:rsidRDefault="007736F4" w:rsidP="00AF2438">
      <w:pPr>
        <w:spacing w:after="120" w:line="320" w:lineRule="exact"/>
        <w:ind w:left="709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(se del caso) </w:t>
      </w:r>
      <w:r>
        <w:rPr>
          <w:rFonts w:ascii="Arial" w:hAnsi="Arial" w:cs="Arial"/>
        </w:rPr>
        <w:t xml:space="preserve">procuratore generale/speciale, giusta procura allegata </w:t>
      </w:r>
    </w:p>
    <w:p w:rsidR="00A2225E" w:rsidRDefault="007736F4" w:rsidP="00AF2438">
      <w:pPr>
        <w:spacing w:before="100" w:after="120" w:line="320" w:lineRule="exact"/>
      </w:pPr>
      <w:r>
        <w:rPr>
          <w:rFonts w:ascii="Arial" w:hAnsi="Arial" w:cs="Arial"/>
        </w:rPr>
        <w:t xml:space="preserve">dell’operatore economico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(indicare la denominazione sociale) </w:t>
      </w:r>
      <w:r>
        <w:rPr>
          <w:rFonts w:ascii="Arial" w:hAnsi="Arial" w:cs="Arial"/>
          <w:i/>
        </w:rPr>
        <w:t> </w:t>
      </w:r>
      <w:r>
        <w:rPr>
          <w:rFonts w:ascii="Arial" w:hAnsi="Arial" w:cs="Arial"/>
          <w:i/>
        </w:rPr>
        <w:t> </w:t>
      </w:r>
      <w:r>
        <w:rPr>
          <w:rFonts w:ascii="Arial" w:hAnsi="Arial" w:cs="Arial"/>
          <w:i/>
        </w:rPr>
        <w:t> </w:t>
      </w:r>
      <w:r>
        <w:rPr>
          <w:rFonts w:ascii="Arial" w:hAnsi="Arial" w:cs="Arial"/>
          <w:i/>
        </w:rPr>
        <w:t> </w:t>
      </w:r>
      <w:r>
        <w:rPr>
          <w:rFonts w:ascii="Arial" w:hAnsi="Arial" w:cs="Arial"/>
          <w:i/>
        </w:rPr>
        <w:t> </w:t>
      </w:r>
      <w:r>
        <w:rPr>
          <w:rFonts w:ascii="Arial" w:hAnsi="Arial" w:cs="Arial"/>
          <w:i/>
        </w:rPr>
        <w:t xml:space="preserve"> (indicare la forma giuridica) </w:t>
      </w:r>
      <w:r>
        <w:rPr>
          <w:rFonts w:ascii="Arial" w:hAnsi="Arial" w:cs="Arial"/>
          <w:i/>
        </w:rPr>
        <w:t> </w:t>
      </w:r>
      <w:r>
        <w:rPr>
          <w:rFonts w:ascii="Arial" w:hAnsi="Arial" w:cs="Arial"/>
          <w:i/>
        </w:rPr>
        <w:t> </w:t>
      </w:r>
      <w:r>
        <w:rPr>
          <w:rFonts w:ascii="Arial" w:hAnsi="Arial" w:cs="Arial"/>
          <w:i/>
        </w:rPr>
        <w:t> </w:t>
      </w:r>
      <w:r>
        <w:rPr>
          <w:rFonts w:ascii="Arial" w:hAnsi="Arial" w:cs="Arial"/>
          <w:i/>
        </w:rPr>
        <w:t> </w:t>
      </w:r>
      <w:r>
        <w:rPr>
          <w:rFonts w:ascii="Arial" w:hAnsi="Arial" w:cs="Arial"/>
          <w:i/>
        </w:rPr>
        <w:t> 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(</w:t>
      </w:r>
      <w:r>
        <w:rPr>
          <w:rFonts w:ascii="Arial" w:hAnsi="Arial" w:cs="Arial"/>
          <w:i/>
        </w:rPr>
        <w:t>indicare la sede legale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 (</w:t>
      </w:r>
      <w:r>
        <w:rPr>
          <w:rFonts w:ascii="Arial" w:hAnsi="Arial" w:cs="Arial"/>
          <w:i/>
        </w:rPr>
        <w:t>indicare CF e PI</w:t>
      </w:r>
      <w:r>
        <w:rPr>
          <w:rFonts w:ascii="Arial" w:hAnsi="Arial" w:cs="Arial"/>
        </w:rPr>
        <w:t xml:space="preserve">)  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 xml:space="preserve">; </w:t>
      </w:r>
    </w:p>
    <w:p w:rsidR="00A2225E" w:rsidRDefault="007736F4" w:rsidP="00AF2438">
      <w:pPr>
        <w:spacing w:before="100" w:after="120" w:line="32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VISTO</w:t>
      </w:r>
    </w:p>
    <w:p w:rsidR="00A2225E" w:rsidRDefault="007736F4" w:rsidP="00AF2438">
      <w:pPr>
        <w:numPr>
          <w:ilvl w:val="0"/>
          <w:numId w:val="1"/>
        </w:numPr>
        <w:spacing w:before="100" w:after="120" w:line="320" w:lineRule="exact"/>
        <w:ind w:left="426" w:hanging="426"/>
      </w:pPr>
      <w:r>
        <w:rPr>
          <w:rFonts w:ascii="Arial" w:hAnsi="Arial" w:cs="Arial"/>
        </w:rPr>
        <w:t xml:space="preserve">l’art. 1 co. 17 della L. 190/2012 </w:t>
      </w:r>
      <w:r>
        <w:rPr>
          <w:rFonts w:ascii="Arial" w:hAnsi="Arial" w:cs="Arial"/>
          <w:i/>
        </w:rPr>
        <w:t>“Disposizioni per la prevenzione e la repressione della corruzione e dell’illegalità nella pubblica amministrazione</w:t>
      </w:r>
      <w:r>
        <w:rPr>
          <w:rFonts w:ascii="Arial" w:hAnsi="Arial" w:cs="Arial"/>
        </w:rPr>
        <w:t xml:space="preserve">” il quale dispone che </w:t>
      </w:r>
      <w:r>
        <w:rPr>
          <w:rFonts w:ascii="Arial" w:hAnsi="Arial" w:cs="Arial"/>
          <w:i/>
        </w:rPr>
        <w:t>“le stazioni appaltanti possono prevedere negli avvisi, bandi di gara o lettere di invito  che  il  mancato  rispetto  delle  clausole contenute nei protocolli di  legalità  o  nei  patti  di  integrità costituisce causa di esclusione dalla gara”</w:t>
      </w:r>
      <w:r>
        <w:rPr>
          <w:rFonts w:ascii="Arial" w:hAnsi="Arial" w:cs="Arial"/>
        </w:rPr>
        <w:t>;</w:t>
      </w:r>
    </w:p>
    <w:p w:rsidR="00A2225E" w:rsidRDefault="007736F4" w:rsidP="00AF2438">
      <w:pPr>
        <w:numPr>
          <w:ilvl w:val="0"/>
          <w:numId w:val="1"/>
        </w:numPr>
        <w:spacing w:before="100" w:after="120" w:line="320" w:lineRule="exac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il Piano Triennale di Prevenzione della Corruzione (PTPC) dell’Agenzia del Demanio; </w:t>
      </w:r>
    </w:p>
    <w:p w:rsidR="00A2225E" w:rsidRDefault="007736F4" w:rsidP="00AF2438">
      <w:pPr>
        <w:spacing w:before="100" w:after="120" w:line="32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SI CONVIENE E SI STIPULA QUANTO SEGUE</w:t>
      </w:r>
    </w:p>
    <w:p w:rsidR="00A2225E" w:rsidRDefault="007736F4" w:rsidP="00AF2438">
      <w:pPr>
        <w:spacing w:after="120"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1 - Finalità </w:t>
      </w:r>
    </w:p>
    <w:p w:rsidR="00A2225E" w:rsidRDefault="007736F4" w:rsidP="00AF2438">
      <w:pPr>
        <w:tabs>
          <w:tab w:val="left" w:pos="360"/>
        </w:tabs>
        <w:spacing w:after="120" w:line="3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Il presente Patto d’integrità stabilisce la reciproca e formale obbligazione tra l’Agenzia del Demanio e l’operatore economico di improntare i propri comportamenti ai principi di lealtà, trasparenza e correttezza. </w:t>
      </w:r>
    </w:p>
    <w:p w:rsidR="00A2225E" w:rsidRDefault="007736F4" w:rsidP="00AF2438">
      <w:pPr>
        <w:tabs>
          <w:tab w:val="left" w:pos="360"/>
        </w:tabs>
        <w:spacing w:after="120" w:line="320" w:lineRule="exact"/>
      </w:pPr>
      <w:r>
        <w:rPr>
          <w:rFonts w:ascii="Arial" w:hAnsi="Arial" w:cs="Arial"/>
          <w:b/>
        </w:rPr>
        <w:t xml:space="preserve">Art. 2 - Durata </w:t>
      </w:r>
    </w:p>
    <w:p w:rsidR="00A2225E" w:rsidRDefault="007736F4" w:rsidP="00AF2438">
      <w:pPr>
        <w:tabs>
          <w:tab w:val="left" w:pos="360"/>
        </w:tabs>
        <w:spacing w:after="120" w:line="3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Il presente Patto e le relative sanzioni, di seguito indicate all’art. 5, sono applicabili fino alla completa esecuzione del contratto, al quale verrà formalmente allegato il presente documento, per costituirne parte integrante e sostanziale.  </w:t>
      </w:r>
    </w:p>
    <w:p w:rsidR="00A2225E" w:rsidRDefault="007736F4" w:rsidP="00AF2438">
      <w:pPr>
        <w:tabs>
          <w:tab w:val="left" w:pos="360"/>
        </w:tabs>
        <w:spacing w:after="120"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3 - Obblighi a carico dell’operatore economico </w:t>
      </w:r>
    </w:p>
    <w:p w:rsidR="00A2225E" w:rsidRDefault="007736F4" w:rsidP="00AF2438">
      <w:pPr>
        <w:tabs>
          <w:tab w:val="left" w:pos="360"/>
        </w:tabs>
        <w:spacing w:after="120" w:line="3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Ai fini della formalizzazione dell’affidamento, l’operatore economico:  </w:t>
      </w:r>
    </w:p>
    <w:p w:rsidR="00A2225E" w:rsidRDefault="007736F4" w:rsidP="00AF2438">
      <w:pPr>
        <w:numPr>
          <w:ilvl w:val="0"/>
          <w:numId w:val="2"/>
        </w:numPr>
        <w:tabs>
          <w:tab w:val="left" w:pos="0"/>
        </w:tabs>
        <w:spacing w:after="120" w:line="3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dichiara di non essere intervenuto nel procedimento amministrativo diretto a stabilire il contenuto delle prestazioni contrattuali al fine di condizionare le modalità di scelta del contraente da parte dell’Agenzia; </w:t>
      </w:r>
    </w:p>
    <w:p w:rsidR="00A2225E" w:rsidRDefault="007736F4" w:rsidP="00AF2438">
      <w:pPr>
        <w:numPr>
          <w:ilvl w:val="0"/>
          <w:numId w:val="2"/>
        </w:numPr>
        <w:tabs>
          <w:tab w:val="left" w:pos="0"/>
        </w:tabs>
        <w:spacing w:after="120" w:line="3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dichiara di non aver corrisposto né promesso di corrispondere ad alcuno, direttamente o tramite terzi, ivi compresi soggetti collegati o controllati, somme di denaro o qualsiasi altra ricompensa, vantaggio o beneficio, per facilitare l’affidamento e/o gestione del contratto e si impegna altresì a non corrispondere né promettere di corrispondere altra ricompensa, vantaggio o beneficio per le sudette finalità; </w:t>
      </w:r>
    </w:p>
    <w:p w:rsidR="00A2225E" w:rsidRDefault="007736F4" w:rsidP="00AF2438">
      <w:pPr>
        <w:numPr>
          <w:ilvl w:val="0"/>
          <w:numId w:val="2"/>
        </w:numPr>
        <w:tabs>
          <w:tab w:val="left" w:pos="0"/>
        </w:tabs>
        <w:spacing w:after="120" w:line="3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si obbliga a non ricorrere ad alcuna mediazione o altra opera di terzi finalizzata all’affidamento e/o gestione del contratto; </w:t>
      </w:r>
    </w:p>
    <w:p w:rsidR="00A2225E" w:rsidRDefault="007736F4" w:rsidP="00AF2438">
      <w:pPr>
        <w:numPr>
          <w:ilvl w:val="0"/>
          <w:numId w:val="2"/>
        </w:numPr>
        <w:tabs>
          <w:tab w:val="left" w:pos="0"/>
        </w:tabs>
        <w:spacing w:after="120" w:line="320" w:lineRule="exact"/>
        <w:rPr>
          <w:rFonts w:ascii="Arial" w:hAnsi="Arial" w:cs="Arial"/>
        </w:rPr>
      </w:pPr>
      <w:r>
        <w:rPr>
          <w:rFonts w:ascii="Arial" w:hAnsi="Arial" w:cs="Arial"/>
        </w:rPr>
        <w:t>si impegna a segnalare alla Stazione appaltante qualsiasi tentativo di turbativa, irregolarità o distorsione durante l’esecuzione del contratto, da parte di ogni interessato o addetto o di chiunque possa influenzare le decisioni relative al presente affidamento;</w:t>
      </w:r>
    </w:p>
    <w:p w:rsidR="00A2225E" w:rsidRDefault="007736F4" w:rsidP="00AF2438">
      <w:pPr>
        <w:numPr>
          <w:ilvl w:val="0"/>
          <w:numId w:val="2"/>
        </w:numPr>
        <w:tabs>
          <w:tab w:val="left" w:pos="0"/>
        </w:tabs>
        <w:spacing w:after="120" w:line="320" w:lineRule="exact"/>
        <w:rPr>
          <w:rFonts w:ascii="Arial" w:hAnsi="Arial" w:cs="Arial"/>
        </w:rPr>
      </w:pPr>
      <w:r>
        <w:rPr>
          <w:rFonts w:ascii="Arial" w:hAnsi="Arial" w:cs="Arial"/>
        </w:rPr>
        <w:t>dichiara, ai fini dell’applicazione dell’art. 53 co. 16 ter del D.Lgs. 165/2001, di non aver concluso contratti di lavoro subordinato o autonomo e, comunque, di non aver attribuito incarichi ad ex dipendenti dell’Agenzia che hanno esercitato poteri autoritativi o negoziali per conto della stessa  nei loro confronti, per il triennio successivo alla cessazione del rapporto;</w:t>
      </w:r>
    </w:p>
    <w:p w:rsidR="00A2225E" w:rsidRDefault="007736F4" w:rsidP="00AF2438">
      <w:pPr>
        <w:numPr>
          <w:ilvl w:val="0"/>
          <w:numId w:val="2"/>
        </w:numPr>
        <w:tabs>
          <w:tab w:val="left" w:pos="0"/>
        </w:tabs>
        <w:spacing w:after="120" w:line="320" w:lineRule="exact"/>
        <w:rPr>
          <w:rFonts w:ascii="Arial" w:hAnsi="Arial" w:cs="Arial"/>
        </w:rPr>
      </w:pPr>
      <w:r>
        <w:rPr>
          <w:rFonts w:ascii="Arial" w:hAnsi="Arial" w:cs="Arial"/>
        </w:rPr>
        <w:t>dichiara di essere consapevole che, qualora emerga la situazione di cui al punto precedente, essa determinerà la nullità del contratto e il divieto di contrarre con l’Amministrazione per i successivi tre anni con obbligo di restituzione dei compensi eventualmente percepiti ed accertati in esecuzione dell’affidamento illegittimo;</w:t>
      </w:r>
    </w:p>
    <w:p w:rsidR="00A2225E" w:rsidRDefault="007736F4" w:rsidP="00AF2438">
      <w:pPr>
        <w:numPr>
          <w:ilvl w:val="0"/>
          <w:numId w:val="2"/>
        </w:numPr>
        <w:tabs>
          <w:tab w:val="left" w:pos="0"/>
        </w:tabs>
        <w:spacing w:after="120" w:line="320" w:lineRule="exact"/>
      </w:pPr>
      <w:r>
        <w:rPr>
          <w:rFonts w:ascii="Arial" w:hAnsi="Arial" w:cs="Arial"/>
          <w:noProof/>
          <w:spacing w:val="20"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-530864</wp:posOffset>
                </wp:positionH>
                <wp:positionV relativeFrom="paragraph">
                  <wp:posOffset>415293</wp:posOffset>
                </wp:positionV>
                <wp:extent cx="467999" cy="219712"/>
                <wp:effectExtent l="19050" t="57150" r="46355" b="85090"/>
                <wp:wrapNone/>
                <wp:docPr id="1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9" cy="219712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pin 0 f0 21600"/>
                            <a:gd name="f15" fmla="pin 0 f1 10800"/>
                            <a:gd name="f16" fmla="*/ f10 f2 1"/>
                            <a:gd name="f17" fmla="*/ f11 f2 1"/>
                            <a:gd name="f18" fmla="val f15"/>
                            <a:gd name="f19" fmla="val f14"/>
                            <a:gd name="f20" fmla="+- 21600 0 f15"/>
                            <a:gd name="f21" fmla="*/ f14 f12 1"/>
                            <a:gd name="f22" fmla="*/ f15 f13 1"/>
                            <a:gd name="f23" fmla="*/ 0 f12 1"/>
                            <a:gd name="f24" fmla="*/ 0 f13 1"/>
                            <a:gd name="f25" fmla="*/ f16 1 f4"/>
                            <a:gd name="f26" fmla="*/ 21600 f13 1"/>
                            <a:gd name="f27" fmla="*/ f17 1 f4"/>
                            <a:gd name="f28" fmla="+- 21600 0 f19"/>
                            <a:gd name="f29" fmla="*/ f20 f13 1"/>
                            <a:gd name="f30" fmla="*/ f18 f13 1"/>
                            <a:gd name="f31" fmla="*/ f19 f12 1"/>
                            <a:gd name="f32" fmla="+- f25 0 f3"/>
                            <a:gd name="f33" fmla="+- f27 0 f3"/>
                            <a:gd name="f34" fmla="*/ f28 f18 1"/>
                            <a:gd name="f35" fmla="*/ f34 1 10800"/>
                            <a:gd name="f36" fmla="+- f19 f35 0"/>
                            <a:gd name="f37" fmla="*/ f36 f12 1"/>
                          </a:gdLst>
                          <a:ahLst>
                            <a:ahXY gdRefX="f0" minX="f7" maxX="f8" gdRefY="f1" minY="f7" maxY="f9">
                              <a:pos x="f21" y="f22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24"/>
                            </a:cxn>
                            <a:cxn ang="f33">
                              <a:pos x="f31" y="f26"/>
                            </a:cxn>
                          </a:cxnLst>
                          <a:rect l="f23" t="f30" r="f37" b="f29"/>
                          <a:pathLst>
                            <a:path w="21600" h="21600">
                              <a:moveTo>
                                <a:pt x="f7" y="f18"/>
                              </a:moveTo>
                              <a:lnTo>
                                <a:pt x="f19" y="f18"/>
                              </a:lnTo>
                              <a:lnTo>
                                <a:pt x="f19" y="f7"/>
                              </a:lnTo>
                              <a:lnTo>
                                <a:pt x="f8" y="f9"/>
                              </a:lnTo>
                              <a:lnTo>
                                <a:pt x="f19" y="f8"/>
                              </a:ln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38103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  <a:effectLst>
                          <a:outerShdw dist="28400" dir="3806097" algn="tl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0ABA5B" id="AutoShape 3" o:spid="_x0000_s1026" style="position:absolute;margin-left:-41.8pt;margin-top:32.7pt;width:36.85pt;height:17.3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" path="m,5400r16200,l16200,r5400,10800l16200,21600r,-5400l,16200,,5400xe" fillcolor="red" strokecolor="red" strokeweight="1.0584mm">
                <v:stroke joinstyle="miter"/>
                <v:shadow on="t" color="#974706" opacity=".5" origin="-.5,-.5" offset=".35281mm,.70561mm"/>
                <v:path arrowok="t" o:connecttype="custom" o:connectlocs="234000,0;467999,109856;234000,219712;0,109856;350999,0;350999,219712" o:connectangles="270,0,90,180,270,90" textboxrect="0,5400,18900,16200"/>
              </v:shape>
            </w:pict>
          </mc:Fallback>
        </mc:AlternateContent>
      </w:r>
      <w:r>
        <w:rPr>
          <w:rFonts w:ascii="Arial" w:hAnsi="Arial" w:cs="Arial"/>
        </w:rPr>
        <w:t>dichiara, ai fini dell’applicazione dell’art. 1 co. 9 lett. e) L. 190/2012, per sé e per i soci facenti parte della compagine sociale che:</w:t>
      </w:r>
    </w:p>
    <w:p w:rsidR="00A2225E" w:rsidRDefault="00530DF3" w:rsidP="00AF2438">
      <w:pPr>
        <w:spacing w:after="120" w:line="320" w:lineRule="exact"/>
        <w:ind w:left="851" w:hanging="426"/>
      </w:pPr>
      <w:r>
        <w:rPr>
          <w:rFonts w:ascii="Arial" w:hAnsi="Arial" w:cs="Arial"/>
        </w:rPr>
        <w:t xml:space="preserve">[  ] </w:t>
      </w:r>
      <w:r w:rsidR="007736F4">
        <w:rPr>
          <w:rFonts w:ascii="Arial" w:hAnsi="Arial" w:cs="Arial"/>
          <w:b/>
        </w:rPr>
        <w:t>non sussitono relazioni di parentela o affinità con i dipendenti dell’Agenzia del Demanio;</w:t>
      </w:r>
    </w:p>
    <w:p w:rsidR="00A2225E" w:rsidRDefault="007736F4" w:rsidP="00AF2438">
      <w:pPr>
        <w:tabs>
          <w:tab w:val="left" w:pos="360"/>
        </w:tabs>
        <w:spacing w:after="120" w:line="320" w:lineRule="exact"/>
        <w:ind w:left="851"/>
        <w:jc w:val="center"/>
      </w:pPr>
      <w:r>
        <w:rPr>
          <w:rFonts w:ascii="Arial" w:hAnsi="Arial" w:cs="Arial"/>
          <w:i/>
          <w:noProof/>
          <w:spacing w:val="2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-530864</wp:posOffset>
                </wp:positionH>
                <wp:positionV relativeFrom="paragraph">
                  <wp:posOffset>301623</wp:posOffset>
                </wp:positionV>
                <wp:extent cx="467999" cy="219712"/>
                <wp:effectExtent l="19050" t="57150" r="46355" b="8509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9" cy="219712"/>
                        </a:xfrm>
                        <a:custGeom>
                          <a:avLst>
                            <a:gd name="f0" fmla="val 16200"/>
                            <a:gd name="f1" fmla="val 5400"/>
                          </a:avLst>
                          <a:gdLst>
                            <a:gd name="f2" fmla="val 10800000"/>
                            <a:gd name="f3" fmla="val 5400000"/>
                            <a:gd name="f4" fmla="val 180"/>
                            <a:gd name="f5" fmla="val w"/>
                            <a:gd name="f6" fmla="val h"/>
                            <a:gd name="f7" fmla="val 0"/>
                            <a:gd name="f8" fmla="val 21600"/>
                            <a:gd name="f9" fmla="val 10800"/>
                            <a:gd name="f10" fmla="+- 0 0 0"/>
                            <a:gd name="f11" fmla="+- 0 0 180"/>
                            <a:gd name="f12" fmla="*/ f5 1 21600"/>
                            <a:gd name="f13" fmla="*/ f6 1 21600"/>
                            <a:gd name="f14" fmla="pin 0 f0 21600"/>
                            <a:gd name="f15" fmla="pin 0 f1 10800"/>
                            <a:gd name="f16" fmla="*/ f10 f2 1"/>
                            <a:gd name="f17" fmla="*/ f11 f2 1"/>
                            <a:gd name="f18" fmla="val f15"/>
                            <a:gd name="f19" fmla="val f14"/>
                            <a:gd name="f20" fmla="+- 21600 0 f15"/>
                            <a:gd name="f21" fmla="*/ f14 f12 1"/>
                            <a:gd name="f22" fmla="*/ f15 f13 1"/>
                            <a:gd name="f23" fmla="*/ 0 f12 1"/>
                            <a:gd name="f24" fmla="*/ 0 f13 1"/>
                            <a:gd name="f25" fmla="*/ f16 1 f4"/>
                            <a:gd name="f26" fmla="*/ 21600 f13 1"/>
                            <a:gd name="f27" fmla="*/ f17 1 f4"/>
                            <a:gd name="f28" fmla="+- 21600 0 f19"/>
                            <a:gd name="f29" fmla="*/ f20 f13 1"/>
                            <a:gd name="f30" fmla="*/ f18 f13 1"/>
                            <a:gd name="f31" fmla="*/ f19 f12 1"/>
                            <a:gd name="f32" fmla="+- f25 0 f3"/>
                            <a:gd name="f33" fmla="+- f27 0 f3"/>
                            <a:gd name="f34" fmla="*/ f28 f18 1"/>
                            <a:gd name="f35" fmla="*/ f34 1 10800"/>
                            <a:gd name="f36" fmla="+- f19 f35 0"/>
                            <a:gd name="f37" fmla="*/ f36 f12 1"/>
                          </a:gdLst>
                          <a:ahLst>
                            <a:ahXY gdRefX="f0" minX="f7" maxX="f8" gdRefY="f1" minY="f7" maxY="f9">
                              <a:pos x="f21" y="f22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31" y="f24"/>
                            </a:cxn>
                            <a:cxn ang="f33">
                              <a:pos x="f31" y="f26"/>
                            </a:cxn>
                          </a:cxnLst>
                          <a:rect l="f23" t="f30" r="f37" b="f29"/>
                          <a:pathLst>
                            <a:path w="21600" h="21600">
                              <a:moveTo>
                                <a:pt x="f7" y="f18"/>
                              </a:moveTo>
                              <a:lnTo>
                                <a:pt x="f19" y="f18"/>
                              </a:lnTo>
                              <a:lnTo>
                                <a:pt x="f19" y="f7"/>
                              </a:lnTo>
                              <a:lnTo>
                                <a:pt x="f8" y="f9"/>
                              </a:lnTo>
                              <a:lnTo>
                                <a:pt x="f19" y="f8"/>
                              </a:lnTo>
                              <a:lnTo>
                                <a:pt x="f19" y="f20"/>
                              </a:lnTo>
                              <a:lnTo>
                                <a:pt x="f7" y="f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38103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  <a:effectLst>
                          <a:outerShdw dist="28400" dir="3806097" algn="tl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787775" id="AutoShape 2" o:spid="_x0000_s1026" style="position:absolute;margin-left:-41.8pt;margin-top:23.75pt;width:36.85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" path="m,5400r16200,l16200,r5400,10800l16200,21600r,-5400l,16200,,5400xe" fillcolor="red" strokecolor="red" strokeweight="1.0584mm">
                <v:stroke joinstyle="miter"/>
                <v:shadow on="t" color="#974706" opacity=".5" origin="-.5,-.5" offset=".35281mm,.70561mm"/>
                <v:path arrowok="t" o:connecttype="custom" o:connectlocs="234000,0;467999,109856;234000,219712;0,109856;350999,0;350999,219712" o:connectangles="270,0,90,180,270,90" textboxrect="0,5400,18900,16200"/>
              </v:shape>
            </w:pict>
          </mc:Fallback>
        </mc:AlternateContent>
      </w:r>
      <w:r>
        <w:rPr>
          <w:rFonts w:ascii="Arial" w:hAnsi="Arial" w:cs="Arial"/>
          <w:i/>
          <w:spacing w:val="20"/>
          <w:sz w:val="32"/>
        </w:rPr>
        <w:t>ovvero</w:t>
      </w:r>
    </w:p>
    <w:p w:rsidR="00A2225E" w:rsidRDefault="00530DF3" w:rsidP="00AF2438">
      <w:pPr>
        <w:tabs>
          <w:tab w:val="left" w:pos="284"/>
        </w:tabs>
        <w:spacing w:after="120" w:line="320" w:lineRule="exact"/>
        <w:ind w:left="851" w:hanging="426"/>
      </w:pPr>
      <w:r>
        <w:rPr>
          <w:rFonts w:ascii="Arial" w:hAnsi="Arial" w:cs="Arial"/>
        </w:rPr>
        <w:lastRenderedPageBreak/>
        <w:t xml:space="preserve">[  ] </w:t>
      </w:r>
      <w:r w:rsidR="007736F4">
        <w:rPr>
          <w:rFonts w:ascii="Arial" w:hAnsi="Arial" w:cs="Arial"/>
          <w:b/>
        </w:rPr>
        <w:t xml:space="preserve">sussistono relazioni di parentela o affinità con i dipendenti dell’Agenzia del Demanio, che, tuttavia, non hanno determinato alcun vantaggio per facilitare l’affidamento del servizio e si impegna, altresì, ad evitare che tali rapporti determinino eventuali benefici nella fase di esecutiva del contratto; </w:t>
      </w:r>
    </w:p>
    <w:p w:rsidR="00A2225E" w:rsidRDefault="007736F4" w:rsidP="00AF2438">
      <w:pPr>
        <w:numPr>
          <w:ilvl w:val="0"/>
          <w:numId w:val="2"/>
        </w:numPr>
        <w:tabs>
          <w:tab w:val="left" w:pos="0"/>
        </w:tabs>
        <w:spacing w:after="120" w:line="3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si obbliga ad informare puntualmente tutto il personale di cui si avvale del presente Patto di integrità e degli obblighi in esso contenuti e a vigilare </w:t>
      </w:r>
      <w:r w:rsidR="00530DF3">
        <w:rPr>
          <w:rFonts w:ascii="Arial" w:hAnsi="Arial" w:cs="Arial"/>
        </w:rPr>
        <w:t>affinché</w:t>
      </w:r>
      <w:r>
        <w:rPr>
          <w:rFonts w:ascii="Arial" w:hAnsi="Arial" w:cs="Arial"/>
        </w:rPr>
        <w:t xml:space="preserve"> gli impegni sopra indicati siano osservati da tutti i collaboratori e dipendenti nell’esercizio dei compiti loro assegnati;</w:t>
      </w:r>
    </w:p>
    <w:p w:rsidR="00A2225E" w:rsidRDefault="007736F4" w:rsidP="00AF2438">
      <w:pPr>
        <w:numPr>
          <w:ilvl w:val="0"/>
          <w:numId w:val="2"/>
        </w:numPr>
        <w:tabs>
          <w:tab w:val="left" w:pos="0"/>
        </w:tabs>
        <w:spacing w:after="120" w:line="3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si impegna ad osservare il Modello di organizzazione, gestione e controllo dell’Agenzia ex </w:t>
      </w:r>
      <w:r w:rsidR="00530DF3">
        <w:rPr>
          <w:rFonts w:ascii="Arial" w:hAnsi="Arial" w:cs="Arial"/>
        </w:rPr>
        <w:t>D.lgs.</w:t>
      </w:r>
      <w:r>
        <w:rPr>
          <w:rFonts w:ascii="Arial" w:hAnsi="Arial" w:cs="Arial"/>
        </w:rPr>
        <w:t xml:space="preserve"> 231/2001, reperibile sul sito istituzionale, ed a tenere un comportamento in linea con il relativo Codice Etico e, comunque, tale da non esporre l’Agenzia al rischio dell’applicazione delle sanzioni previste dal predetto decreto; </w:t>
      </w:r>
    </w:p>
    <w:p w:rsidR="00A2225E" w:rsidRDefault="007736F4" w:rsidP="00AF2438">
      <w:pPr>
        <w:numPr>
          <w:ilvl w:val="0"/>
          <w:numId w:val="2"/>
        </w:numPr>
        <w:tabs>
          <w:tab w:val="left" w:pos="0"/>
        </w:tabs>
        <w:spacing w:after="120" w:line="320" w:lineRule="exact"/>
        <w:rPr>
          <w:rFonts w:ascii="Arial" w:hAnsi="Arial" w:cs="Arial"/>
        </w:rPr>
      </w:pPr>
      <w:r>
        <w:rPr>
          <w:rFonts w:ascii="Arial" w:hAnsi="Arial" w:cs="Arial"/>
        </w:rPr>
        <w:t>si obbliga ad inserire identiche clausole di integrità ed anti-corruzione negli eventuali contratti di subappalto;</w:t>
      </w:r>
    </w:p>
    <w:p w:rsidR="00A2225E" w:rsidRDefault="007736F4" w:rsidP="00AF2438">
      <w:pPr>
        <w:numPr>
          <w:ilvl w:val="0"/>
          <w:numId w:val="2"/>
        </w:numPr>
        <w:tabs>
          <w:tab w:val="left" w:pos="0"/>
        </w:tabs>
        <w:spacing w:after="120" w:line="3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si impegna a denunciare alle Autorità competenti ogni irregolarità o distorsione di cui sia venuta a conoscenza per quanto attiene l’attività di cui all’oggetto.  </w:t>
      </w:r>
    </w:p>
    <w:p w:rsidR="00A2225E" w:rsidRDefault="007736F4" w:rsidP="00AF2438">
      <w:pPr>
        <w:tabs>
          <w:tab w:val="left" w:pos="360"/>
        </w:tabs>
        <w:spacing w:after="120"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4 - Obblighi a carico dell’Agenzia </w:t>
      </w:r>
    </w:p>
    <w:p w:rsidR="00A2225E" w:rsidRDefault="007736F4" w:rsidP="00AF2438">
      <w:pPr>
        <w:tabs>
          <w:tab w:val="left" w:pos="360"/>
        </w:tabs>
        <w:spacing w:after="120" w:line="3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L’Agenzia si impegna ad attivare procedimenti disciplinari nei confronti del personale coinvolto, a vario titolo, nel procedimento di scelta del contraente e nella fase esecutiva del contratto, in caso di accertata violazione dei principi di lealtà e correttezza dell’agire assunti con il presente Patto. </w:t>
      </w:r>
    </w:p>
    <w:p w:rsidR="00A2225E" w:rsidRDefault="007736F4" w:rsidP="00AF2438">
      <w:pPr>
        <w:tabs>
          <w:tab w:val="left" w:pos="360"/>
        </w:tabs>
        <w:spacing w:after="120" w:line="3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L’Agenzia assume l’espresso impegno anticorruzione di non offrire, accettare o richiedere somme di denaro o qualsiasi altra ricompensa, vantaggio o beneficio, per facilitare, sia direttamente che indirettamente, l’affidamento e/o gestione del contratto. </w:t>
      </w:r>
    </w:p>
    <w:p w:rsidR="00A2225E" w:rsidRDefault="007736F4" w:rsidP="00AF2438">
      <w:pPr>
        <w:tabs>
          <w:tab w:val="left" w:pos="360"/>
        </w:tabs>
        <w:spacing w:after="120" w:line="3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L’Agenzia si obbliga a garantire adeguata pubblicità degli atti inerenti il presente affidamento secondo le modalità previste dalla legge. </w:t>
      </w:r>
    </w:p>
    <w:p w:rsidR="00A2225E" w:rsidRDefault="007736F4" w:rsidP="00AF2438">
      <w:pPr>
        <w:tabs>
          <w:tab w:val="left" w:pos="360"/>
        </w:tabs>
        <w:spacing w:after="120"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5 - Violazione del Patto di Integrità </w:t>
      </w:r>
    </w:p>
    <w:p w:rsidR="00A2225E" w:rsidRDefault="007736F4" w:rsidP="00AF2438">
      <w:pPr>
        <w:tabs>
          <w:tab w:val="left" w:pos="360"/>
        </w:tabs>
        <w:spacing w:after="120" w:line="32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La violazione degli impegni anticorruzione assunti con la sottoscrizione del presente Patto di integrità da parte dell’operatore economico potrà comportare, in ragione della fase in cui è accertato l’inadempimento: la risoluzione del contratto con conseguente contestuale segnalazione del fatto all’Anac. </w:t>
      </w:r>
    </w:p>
    <w:p w:rsidR="00A2225E" w:rsidRDefault="007736F4" w:rsidP="00AF2438">
      <w:pPr>
        <w:tabs>
          <w:tab w:val="left" w:pos="360"/>
        </w:tabs>
        <w:spacing w:after="120" w:line="320" w:lineRule="exact"/>
        <w:rPr>
          <w:rFonts w:ascii="Arial" w:hAnsi="Arial" w:cs="Arial"/>
        </w:rPr>
      </w:pPr>
      <w:r>
        <w:rPr>
          <w:rFonts w:ascii="Arial" w:hAnsi="Arial" w:cs="Arial"/>
        </w:rPr>
        <w:t>La violazione delle obbligazioni assunte viene dichiarata dall’Agenzia a conclusione di un apposito procedimento di verifica, con le garanzie del contraddittorio per l’operatore economico interessato. L’Agenzia comunica l’avvio del procedimento d’ufficio all’operatore economico tramite comunicazione, a mezzo PEC, contenente sintetica motivazione. Eventuali controdeduzioni dovranno pervenire entro 15 giorni. L’Agenzia, decorsi 15 giorni dal ricevimento delle stesse, si pronuncerà definitivamente in merito alla violazione.</w:t>
      </w:r>
    </w:p>
    <w:p w:rsidR="00A2225E" w:rsidRDefault="007736F4" w:rsidP="00AF2438">
      <w:pPr>
        <w:tabs>
          <w:tab w:val="left" w:pos="360"/>
        </w:tabs>
        <w:spacing w:after="120"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6 - Controversie </w:t>
      </w:r>
    </w:p>
    <w:p w:rsidR="00A2225E" w:rsidRDefault="007736F4" w:rsidP="00AF2438">
      <w:pPr>
        <w:tabs>
          <w:tab w:val="left" w:pos="360"/>
        </w:tabs>
        <w:spacing w:after="120" w:line="320" w:lineRule="exac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Ogni controversia relativa all’interpretazione ed all’esecuzione del presente Patto di Integrità tra l’Agenzia ed i concorrenti ovvero tra gli stessi concorrenti sarà risolta dall’Autorità Giudiziaria competente in relazione al tipo di violazione. </w:t>
      </w:r>
    </w:p>
    <w:p w:rsidR="00A2225E" w:rsidRDefault="007736F4" w:rsidP="00AF2438">
      <w:pPr>
        <w:tabs>
          <w:tab w:val="left" w:pos="360"/>
        </w:tabs>
        <w:spacing w:before="100" w:after="120" w:line="320" w:lineRule="exact"/>
      </w:pPr>
      <w:r>
        <w:rPr>
          <w:rFonts w:ascii="Arial" w:hAnsi="Arial" w:cs="Arial"/>
          <w:sz w:val="22"/>
          <w:szCs w:val="22"/>
        </w:rPr>
        <w:t>Letto, confermato e sottoscritto digitalmente da</w:t>
      </w:r>
      <w:r>
        <w:rPr>
          <w:rStyle w:val="Rimandonotaapidipagina"/>
          <w:rFonts w:ascii="Arial" w:hAnsi="Arial" w:cs="Arial"/>
          <w:b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t> </w:t>
      </w:r>
    </w:p>
    <w:p w:rsidR="00A2225E" w:rsidRDefault="00A2225E" w:rsidP="00AF2438">
      <w:pPr>
        <w:tabs>
          <w:tab w:val="left" w:pos="360"/>
        </w:tabs>
        <w:spacing w:before="100" w:after="120" w:line="320" w:lineRule="exact"/>
        <w:rPr>
          <w:rFonts w:ascii="Arial" w:hAnsi="Arial" w:cs="Arial"/>
        </w:rPr>
      </w:pPr>
    </w:p>
    <w:p w:rsidR="00A2225E" w:rsidRDefault="00A2225E" w:rsidP="00AF2438">
      <w:pPr>
        <w:tabs>
          <w:tab w:val="left" w:pos="360"/>
        </w:tabs>
        <w:spacing w:after="120" w:line="320" w:lineRule="exact"/>
        <w:ind w:left="2126"/>
        <w:jc w:val="center"/>
        <w:rPr>
          <w:rFonts w:ascii="Arial" w:hAnsi="Arial" w:cs="Arial"/>
        </w:rPr>
      </w:pPr>
    </w:p>
    <w:sectPr w:rsidR="00A22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9" w:right="1134" w:bottom="1361" w:left="1134" w:header="680" w:footer="28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406" w:rsidRDefault="007736F4">
      <w:r>
        <w:separator/>
      </w:r>
    </w:p>
  </w:endnote>
  <w:endnote w:type="continuationSeparator" w:id="0">
    <w:p w:rsidR="00264406" w:rsidRDefault="0077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438" w:rsidRDefault="00AF24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25" w:rsidRDefault="007736F4">
    <w:pPr>
      <w:pStyle w:val="Pidipagina"/>
      <w:jc w:val="right"/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C55039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  <w:p w:rsidR="00313125" w:rsidRDefault="00C55039">
    <w:pPr>
      <w:pStyle w:val="Pidipa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25" w:rsidRDefault="007736F4">
    <w:pPr>
      <w:pStyle w:val="Pidipagina"/>
      <w:jc w:val="right"/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C55039">
      <w:rPr>
        <w:rFonts w:ascii="Arial" w:hAnsi="Arial" w:cs="Arial"/>
        <w:noProof/>
        <w:sz w:val="20"/>
        <w:szCs w:val="20"/>
      </w:rPr>
      <w:t>1</w:t>
    </w:r>
    <w:r>
      <w:rPr>
        <w:rFonts w:ascii="Arial" w:hAnsi="Arial" w:cs="Arial"/>
        <w:sz w:val="20"/>
        <w:szCs w:val="20"/>
      </w:rPr>
      <w:fldChar w:fldCharType="end"/>
    </w:r>
  </w:p>
  <w:p w:rsidR="00313125" w:rsidRDefault="00C550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406" w:rsidRDefault="007736F4">
      <w:r>
        <w:rPr>
          <w:color w:val="000000"/>
        </w:rPr>
        <w:separator/>
      </w:r>
    </w:p>
  </w:footnote>
  <w:footnote w:type="continuationSeparator" w:id="0">
    <w:p w:rsidR="00264406" w:rsidRDefault="007736F4">
      <w:r>
        <w:continuationSeparator/>
      </w:r>
    </w:p>
  </w:footnote>
  <w:footnote w:id="1">
    <w:p w:rsidR="00A2225E" w:rsidRDefault="007736F4">
      <w:r>
        <w:rPr>
          <w:rStyle w:val="Rimandonotaapidipagina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N.B. </w:t>
      </w:r>
    </w:p>
    <w:p w:rsidR="00A2225E" w:rsidRDefault="007736F4">
      <w:pPr>
        <w:numPr>
          <w:ilvl w:val="0"/>
          <w:numId w:val="3"/>
        </w:numPr>
        <w:ind w:left="284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nel caso di professionista singolo, dal professionista;</w:t>
      </w:r>
    </w:p>
    <w:p w:rsidR="00A2225E" w:rsidRDefault="007736F4">
      <w:pPr>
        <w:numPr>
          <w:ilvl w:val="0"/>
          <w:numId w:val="3"/>
        </w:numPr>
        <w:ind w:left="284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nel caso di studio associato, da tutti gli associati o dal rappresentante munito di idonei poteri;</w:t>
      </w:r>
    </w:p>
    <w:p w:rsidR="00A2225E" w:rsidRDefault="007736F4">
      <w:pPr>
        <w:numPr>
          <w:ilvl w:val="0"/>
          <w:numId w:val="3"/>
        </w:numPr>
        <w:ind w:left="284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nel caso di società o consorzi stabili, dal legale rappresentante;</w:t>
      </w:r>
    </w:p>
    <w:p w:rsidR="00A2225E" w:rsidRDefault="007736F4">
      <w:pPr>
        <w:numPr>
          <w:ilvl w:val="0"/>
          <w:numId w:val="3"/>
        </w:numPr>
        <w:ind w:left="284" w:hanging="284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nel caso di r.t.p. da tutti i mandanti e mandatari</w:t>
      </w:r>
    </w:p>
    <w:p w:rsidR="00A2225E" w:rsidRDefault="00A2225E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438" w:rsidRDefault="00AF24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25" w:rsidRDefault="007736F4">
    <w:pPr>
      <w:pStyle w:val="Intestazione"/>
      <w:pBdr>
        <w:bottom w:val="single" w:sz="4" w:space="1" w:color="BFBFBF"/>
      </w:pBdr>
      <w:jc w:val="lef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 xml:space="preserve">Patto di integrità </w:t>
    </w:r>
  </w:p>
  <w:p w:rsidR="00313125" w:rsidRDefault="00C55039">
    <w:pPr>
      <w:pStyle w:val="Intestazione"/>
      <w:pBdr>
        <w:bottom w:val="single" w:sz="4" w:space="1" w:color="BFBFBF"/>
      </w:pBdr>
      <w:jc w:val="left"/>
      <w:rPr>
        <w:rFonts w:ascii="Arial" w:hAnsi="Arial" w:cs="Arial"/>
        <w:color w:val="8080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125" w:rsidRPr="00AF2438" w:rsidRDefault="00AF2438">
    <w:pPr>
      <w:pStyle w:val="Intestazione"/>
      <w:tabs>
        <w:tab w:val="clear" w:pos="4819"/>
        <w:tab w:val="clear" w:pos="9638"/>
      </w:tabs>
      <w:jc w:val="right"/>
      <w:rPr>
        <w:sz w:val="22"/>
      </w:rPr>
    </w:pPr>
    <w:r w:rsidRPr="00AF2438">
      <w:rPr>
        <w:rFonts w:ascii="Arial" w:hAnsi="Arial" w:cs="Arial"/>
        <w:sz w:val="22"/>
      </w:rPr>
      <w:tab/>
      <w:t>Allegato 4</w:t>
    </w:r>
  </w:p>
  <w:p w:rsidR="00313125" w:rsidRDefault="00C55039">
    <w:pPr>
      <w:pStyle w:val="Intestazione"/>
      <w:rPr>
        <w:rFonts w:ascii="Arial" w:hAnsi="Arial" w:cs="Arial"/>
        <w:color w:val="808080"/>
        <w:sz w:val="20"/>
        <w:szCs w:val="20"/>
      </w:rPr>
    </w:pPr>
  </w:p>
  <w:p w:rsidR="00313125" w:rsidRDefault="00C55039">
    <w:pPr>
      <w:pStyle w:val="Intestazione"/>
      <w:rPr>
        <w:rFonts w:ascii="Arial" w:hAnsi="Arial"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1BCB"/>
    <w:multiLevelType w:val="multilevel"/>
    <w:tmpl w:val="D54662E0"/>
    <w:lvl w:ilvl="0">
      <w:numFmt w:val="bullet"/>
      <w:lvlText w:val="-"/>
      <w:lvlJc w:val="left"/>
      <w:pPr>
        <w:ind w:left="720" w:hanging="360"/>
      </w:pPr>
      <w:rPr>
        <w:rFonts w:ascii="Garamond" w:hAnsi="Garamond" w:cs="Times New Roman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5815C02"/>
    <w:multiLevelType w:val="multilevel"/>
    <w:tmpl w:val="E626C47E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5DBC4F1E"/>
    <w:multiLevelType w:val="multilevel"/>
    <w:tmpl w:val="E28EE14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2225E"/>
    <w:rsid w:val="00264406"/>
    <w:rsid w:val="00530DF3"/>
    <w:rsid w:val="007736F4"/>
    <w:rsid w:val="00A2225E"/>
    <w:rsid w:val="00A4520B"/>
    <w:rsid w:val="00AF2438"/>
    <w:rsid w:val="00C5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BF608A-36B2-4E53-93F5-A2814BDE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color w:val="000000"/>
    </w:rPr>
  </w:style>
  <w:style w:type="paragraph" w:styleId="Titolo2">
    <w:name w:val="heading 2"/>
    <w:basedOn w:val="Normale"/>
    <w:next w:val="Normale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Paragrafoelenco">
    <w:name w:val="List Paragraph"/>
    <w:basedOn w:val="Normale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pPr>
      <w:spacing w:before="100" w:after="100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rPr>
      <w:rFonts w:ascii="Book Antiqua" w:hAnsi="Book Antiqua"/>
      <w:sz w:val="24"/>
      <w:szCs w:val="24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rPr>
      <w:rFonts w:ascii="Book Antiqua" w:hAnsi="Book Antiqua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commento">
    <w:name w:val="annotation reference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20"/>
    </w:rPr>
  </w:style>
  <w:style w:type="character" w:customStyle="1" w:styleId="TestocommentoCarattere">
    <w:name w:val="Testo commento Carattere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rFonts w:ascii="Book Antiqua" w:hAnsi="Book Antiqua"/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4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PALUMBO VALENTINA</cp:lastModifiedBy>
  <cp:revision>6</cp:revision>
  <cp:lastPrinted>2017-06-26T08:40:00Z</cp:lastPrinted>
  <dcterms:created xsi:type="dcterms:W3CDTF">2022-08-05T12:02:00Z</dcterms:created>
  <dcterms:modified xsi:type="dcterms:W3CDTF">2022-11-29T08:02:00Z</dcterms:modified>
</cp:coreProperties>
</file>