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74" w:rsidRPr="00B377DD" w:rsidRDefault="000E672D" w:rsidP="000B5F74">
      <w:pPr>
        <w:spacing w:after="0" w:line="240" w:lineRule="auto"/>
        <w:jc w:val="center"/>
        <w:rPr>
          <w:rFonts w:ascii="Arial" w:eastAsia="Times New Roman" w:hAnsi="Arial" w:cs="Arial"/>
          <w:lang w:val="de-DE" w:eastAsia="it-IT"/>
        </w:rPr>
      </w:pPr>
      <w:r>
        <w:rPr>
          <w:rFonts w:ascii="Arial" w:eastAsia="Times New Roman" w:hAnsi="Arial" w:cs="Arial"/>
          <w:b/>
          <w:bCs/>
          <w:color w:val="000000"/>
          <w:lang w:val="de-DE" w:eastAsia="it-IT"/>
        </w:rPr>
        <w:t xml:space="preserve"> </w:t>
      </w:r>
      <w:bookmarkStart w:id="0" w:name="_GoBack"/>
      <w:bookmarkEnd w:id="0"/>
      <w:r w:rsidR="00B377DD" w:rsidRPr="00B377DD">
        <w:rPr>
          <w:rFonts w:ascii="Arial" w:eastAsia="Times New Roman" w:hAnsi="Arial" w:cs="Arial"/>
          <w:b/>
          <w:bCs/>
          <w:color w:val="000000"/>
          <w:lang w:val="de-DE" w:eastAsia="it-IT"/>
        </w:rPr>
        <w:t>Informationen gemäß Art.</w:t>
      </w:r>
      <w:r w:rsidR="00EE748E">
        <w:rPr>
          <w:rFonts w:ascii="Arial" w:eastAsia="Times New Roman" w:hAnsi="Arial" w:cs="Arial"/>
          <w:b/>
          <w:bCs/>
          <w:color w:val="000000"/>
          <w:lang w:val="de-DE" w:eastAsia="it-IT"/>
        </w:rPr>
        <w:t xml:space="preserve"> 13 der Verordnung (EU) 2016/679</w:t>
      </w:r>
    </w:p>
    <w:p w:rsidR="000B5F74" w:rsidRPr="00B377DD" w:rsidRDefault="000B5F74" w:rsidP="000B5F74">
      <w:pPr>
        <w:jc w:val="both"/>
        <w:rPr>
          <w:rFonts w:eastAsia="Times New Roman" w:cs="Times New Roman"/>
          <w:bCs/>
          <w:color w:val="000000"/>
          <w:lang w:val="de-DE" w:eastAsia="it-IT"/>
        </w:rPr>
      </w:pP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Gemäß und im Sinne von Art. 13 der Verordnung (EU) 2016/679 (im Folgenden auch die „Verordnung“) gibt die Agenzia del Demanio (im Folgenden auch die „Agentur“ oder „Eigentümer“) als Datenverantwortlicher die Zwecke und Methoden der Verarbeitung der von der bereitgestellten personenbezogenen Daten bekannt Teilnehmer an diesem Verfahren.</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Die personenbezogenen Daten, die von den interessierten Parteien durch Ausfüllen der vom Datenverantwortlichen erstellten Formulare und Übermittlung der von ihm angeforderten Unterlagen bereitgestellt werden, werden von der Agentur ausschließlich zur Erfüllung der mit diesem Verfahren verbundenen Verpflichtungen verarbeitet.</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Die Angabe der Daten ist insofern verpflichtend, als dass der Wirtschaftsbeteiligte, wenn er an dem Verfahren teilnehmen will, die erforderlichen Erklärungen unter Androhung des Ausschlusses abgeben muss.</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Die bereitgestellten Daten werden von der Agentur gemäß den Bestimmungen und diszipliniert durch die Verordnung und insbesondere durch manuelle, IT- und Telematik-Tools verarbeitet, deren Logik eng mit den bereits erläuterten Zwecken verbunden ist, auf rechtmäßige und korrekte Weise und in Übereinstimmung mit das Prinzip der Minimierung. .</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Dieselben Daten werden so lange aufbewahrt, wie es unbedingt erforderlich ist, um die Zwecke zu erreichen, für die sie bereitgestellt wurden, und anschließend zur Erfüllung der gesetzlichen Verpflichtungen im Zusammenhang mit und nach diesem Verfahren.</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Die Agentur wendet keine automatisierten Entscheidungsfindungsprozesse an und führt kein Profiling von betroffenen Personen durch.</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Die Daten können an andere öffentliche Behörden und Verwaltungen zur Ausführung ihrer Aufträge und zur Erfüllung gesetzlicher Verpflichtungen weitergegeben werden, sofern dies vorgesehen ist, und können den zuvor vom Datenverantwortlichen autorisierten und angewiesenen Mitarbeitern der Agentur bekannt sein ausschließliche Zwecke im Zusammenhang mit dem Verfahren.</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Die Agentur kann sich auch der Unterstützung externer Unternehmen bedienen, die zuvor als Datenverarbeiter gemäß Art. 28 der Verordnung. Außerhalb dieser Fälle werden personenbezogene Daten nicht an Dritte weitergegeben oder weitergegeben. Sie werden nicht an Drittländer oder internationale Organisationen übermittelt.</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Angesichts der äußerst heiklen Art des betreffenden Verfahrens kann die Agentur die gemäß Art. 10 der Verordnung, in Bezug auf strafrechtliche Verurteilungen und Straftaten oder damit zusammenhängende Sicherheitsmaßnahmen (sogenannte Justizdaten), deren Verarbeitung in Übereinstimmung mit den gesetzlichen Bestimmungen vollständig gewährleistet ist.</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Betroffene Parteien können das Recht ausüben, den Datenverantwortlichen um Zugang zu personenbezogenen Daten und deren Berichtigung oder Löschung oder Einschränkung der sie betreffenden Verarbeitung zu ersuchen oder der Verarbeitung selbst zu widersprechen (Artikel 15 ff. der Verordnung). Der entsprechende Antrag kann an die Staatliche Immobilienagentur, Verantwortlicher für die Datenverarbeitung, am Sitz in der Via Barberini n. 38 - 00187 Rom oder an den Datenschutzbeauftragten, der für die Funktion im selben Büro ansässig und unter der E-Mail-Adresse: demanio.dpo@agenziademanio.it erreichbar ist</w:t>
      </w:r>
    </w:p>
    <w:p w:rsidR="00B377DD" w:rsidRPr="00B377DD" w:rsidRDefault="00B377DD" w:rsidP="00B377DD">
      <w:pPr>
        <w:spacing w:after="0"/>
        <w:jc w:val="both"/>
        <w:rPr>
          <w:rFonts w:ascii="Arial" w:eastAsia="Times New Roman" w:hAnsi="Arial" w:cs="Arial"/>
          <w:bCs/>
          <w:color w:val="000000"/>
          <w:lang w:val="de-DE" w:eastAsia="it-IT"/>
        </w:rPr>
      </w:pPr>
      <w:r w:rsidRPr="00B377DD">
        <w:rPr>
          <w:rFonts w:ascii="Arial" w:eastAsia="Times New Roman" w:hAnsi="Arial" w:cs="Arial"/>
          <w:bCs/>
          <w:color w:val="000000"/>
          <w:lang w:val="de-DE" w:eastAsia="it-IT"/>
        </w:rPr>
        <w:t>Interessenten, die der Ansicht sind, dass die Verarbeitung personenbezogener Daten, die ihnen von der Staatlichen Immobilienagentur durchgeführt werden, gegen die Bestimmungen der Verordnung verstößt, haben das Recht, eine Beschwerde beim Garanten einzureichen, wie in Art. 77 der Verordnung selbst, oder geeignete gerichtliche Ämter zu übernehmen (Artikel 79 der Verordnung).</w:t>
      </w:r>
    </w:p>
    <w:p w:rsidR="00B377DD" w:rsidRPr="00B377DD" w:rsidRDefault="00B377DD" w:rsidP="00B377DD">
      <w:pPr>
        <w:spacing w:after="0"/>
        <w:jc w:val="both"/>
        <w:rPr>
          <w:rFonts w:ascii="Arial" w:eastAsia="Times New Roman" w:hAnsi="Arial" w:cs="Arial"/>
          <w:bCs/>
          <w:color w:val="000000"/>
          <w:lang w:val="de-DE" w:eastAsia="it-IT"/>
        </w:rPr>
      </w:pPr>
    </w:p>
    <w:p w:rsidR="009C04EE" w:rsidRPr="00B377DD" w:rsidRDefault="00B377DD" w:rsidP="00B377DD">
      <w:pPr>
        <w:spacing w:after="0"/>
        <w:jc w:val="both"/>
        <w:rPr>
          <w:lang w:val="de-DE"/>
        </w:rPr>
      </w:pPr>
      <w:r w:rsidRPr="00B377DD">
        <w:rPr>
          <w:rFonts w:ascii="Arial" w:eastAsia="Times New Roman" w:hAnsi="Arial" w:cs="Arial"/>
          <w:bCs/>
          <w:color w:val="000000"/>
          <w:lang w:val="de-DE" w:eastAsia="it-IT"/>
        </w:rPr>
        <w:t>Gelesen, bestätigt und unterschrieben (digital)</w:t>
      </w:r>
    </w:p>
    <w:sectPr w:rsidR="009C04EE" w:rsidRPr="00B377DD" w:rsidSect="003631A0">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C5" w:rsidRDefault="000E5892">
      <w:pPr>
        <w:spacing w:after="0" w:line="240" w:lineRule="auto"/>
      </w:pPr>
      <w:r>
        <w:separator/>
      </w:r>
    </w:p>
  </w:endnote>
  <w:endnote w:type="continuationSeparator" w:id="0">
    <w:p w:rsidR="00EB6FC5" w:rsidRDefault="000E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C5" w:rsidRDefault="000E5892">
      <w:pPr>
        <w:spacing w:after="0" w:line="240" w:lineRule="auto"/>
      </w:pPr>
      <w:r>
        <w:separator/>
      </w:r>
    </w:p>
  </w:footnote>
  <w:footnote w:type="continuationSeparator" w:id="0">
    <w:p w:rsidR="00EB6FC5" w:rsidRDefault="000E5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DB" w:rsidRDefault="004F73DB" w:rsidP="004F73DB">
    <w:pPr>
      <w:pStyle w:val="Intestazione"/>
      <w:jc w:val="right"/>
      <w:rPr>
        <w:rFonts w:ascii="Arial" w:eastAsia="Arial" w:hAnsi="Arial" w:cs="Arial"/>
        <w:sz w:val="20"/>
        <w:szCs w:val="20"/>
        <w:lang w:val="de-DE" w:eastAsia="de-DE" w:bidi="de-DE"/>
      </w:rPr>
    </w:pPr>
  </w:p>
  <w:p w:rsidR="004F73DB" w:rsidRPr="004F73DB" w:rsidRDefault="004F73DB" w:rsidP="004F73DB">
    <w:pPr>
      <w:pStyle w:val="Intestazione"/>
      <w:jc w:val="right"/>
      <w:rPr>
        <w:rFonts w:ascii="Arial" w:hAnsi="Arial" w:cs="Arial"/>
        <w:sz w:val="20"/>
        <w:szCs w:val="20"/>
      </w:rPr>
    </w:pPr>
    <w:r w:rsidRPr="005E0A46">
      <w:rPr>
        <w:rFonts w:ascii="Arial" w:hAnsi="Arial" w:cs="Arial"/>
        <w:color w:val="808080"/>
        <w:sz w:val="20"/>
        <w:szCs w:val="20"/>
      </w:rPr>
      <w:t xml:space="preserve">Allegato </w:t>
    </w:r>
    <w:r w:rsidR="00262F25">
      <w:rPr>
        <w:rFonts w:ascii="Arial" w:hAnsi="Arial" w:cs="Arial"/>
        <w:color w:val="808080"/>
        <w:sz w:val="20"/>
        <w:szCs w:val="20"/>
      </w:rPr>
      <w:t>B</w:t>
    </w:r>
  </w:p>
  <w:p w:rsidR="004F73DB" w:rsidRDefault="004F73DB" w:rsidP="004F73DB">
    <w:pPr>
      <w:pStyle w:val="Intestazione"/>
      <w:ind w:left="3677"/>
      <w:jc w:val="right"/>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r>
  </w:p>
  <w:p w:rsidR="00453890" w:rsidRPr="004F73DB" w:rsidRDefault="004F73DB" w:rsidP="004F73DB">
    <w:pPr>
      <w:pStyle w:val="Intestazione"/>
      <w:ind w:left="3677"/>
      <w:jc w:val="right"/>
      <w:rPr>
        <w:rFonts w:ascii="Arial" w:hAnsi="Arial" w:cs="Arial"/>
        <w:color w:val="808080"/>
        <w:sz w:val="20"/>
        <w:szCs w:val="20"/>
      </w:rPr>
    </w:pPr>
    <w:r w:rsidRPr="004F73DB">
      <w:rPr>
        <w:rFonts w:ascii="Arial" w:eastAsia="Arial" w:hAnsi="Arial" w:cs="Arial"/>
        <w:color w:val="808080"/>
        <w:sz w:val="20"/>
        <w:szCs w:val="20"/>
        <w:lang w:eastAsia="de-DE" w:bidi="de-DE"/>
      </w:rPr>
      <w:tab/>
    </w:r>
    <w:r w:rsidRPr="004F73DB">
      <w:rPr>
        <w:rFonts w:ascii="Arial" w:eastAsia="Arial" w:hAnsi="Arial" w:cs="Arial"/>
        <w:color w:val="808080"/>
        <w:sz w:val="20"/>
        <w:szCs w:val="20"/>
        <w:lang w:eastAsia="de-DE" w:bidi="de-D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74"/>
    <w:rsid w:val="000B5F74"/>
    <w:rsid w:val="000E5892"/>
    <w:rsid w:val="000E672D"/>
    <w:rsid w:val="000F52F5"/>
    <w:rsid w:val="00262F25"/>
    <w:rsid w:val="0033766A"/>
    <w:rsid w:val="00433613"/>
    <w:rsid w:val="004F73DB"/>
    <w:rsid w:val="006E41DC"/>
    <w:rsid w:val="007D52C7"/>
    <w:rsid w:val="009712FC"/>
    <w:rsid w:val="009C04EE"/>
    <w:rsid w:val="00A74645"/>
    <w:rsid w:val="00B377DD"/>
    <w:rsid w:val="00C014F6"/>
    <w:rsid w:val="00CD26D7"/>
    <w:rsid w:val="00CD3790"/>
    <w:rsid w:val="00E24896"/>
    <w:rsid w:val="00E2755C"/>
    <w:rsid w:val="00EB6FC5"/>
    <w:rsid w:val="00EE748E"/>
    <w:rsid w:val="00F838CE"/>
    <w:rsid w:val="00F852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52C8"/>
  <w15:docId w15:val="{C6714922-A12C-4B64-B155-037EBC1E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F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F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F74"/>
  </w:style>
  <w:style w:type="paragraph" w:styleId="Pidipagina">
    <w:name w:val="footer"/>
    <w:basedOn w:val="Normale"/>
    <w:link w:val="PidipaginaCarattere"/>
    <w:uiPriority w:val="99"/>
    <w:unhideWhenUsed/>
    <w:rsid w:val="000B5F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PATRIARCA MARIELLA</dc:creator>
  <cp:lastModifiedBy>TROCKER MARTIN</cp:lastModifiedBy>
  <cp:revision>6</cp:revision>
  <dcterms:created xsi:type="dcterms:W3CDTF">2022-09-26T09:26:00Z</dcterms:created>
  <dcterms:modified xsi:type="dcterms:W3CDTF">2023-06-01T08:00:00Z</dcterms:modified>
</cp:coreProperties>
</file>