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7"/>
      </w:tblGrid>
      <w:tr w:rsidR="00E70F3D">
        <w:trPr>
          <w:trHeight w:val="2318"/>
        </w:trPr>
        <w:tc>
          <w:tcPr>
            <w:tcW w:w="10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3D" w:rsidRDefault="00E70F3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70F3D" w:rsidRDefault="00D50F6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Il presente documento deve essere obbligatoriamente sottoscritto da parte del concorrente e presentato unitamente alla documentazione amministrativa. </w:t>
            </w:r>
          </w:p>
          <w:p w:rsidR="00E70F3D" w:rsidRDefault="00E70F3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70F3D" w:rsidRDefault="00D50F6B">
            <w:r>
              <w:rPr>
                <w:rFonts w:ascii="Arial" w:hAnsi="Arial" w:cs="Arial"/>
                <w:bCs/>
                <w:sz w:val="16"/>
                <w:szCs w:val="16"/>
              </w:rPr>
              <w:t xml:space="preserve">In caso di partecipazione in forma plurima (RTI/Consorzi 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ordinari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sia costituiti che costituendi) il Patto deve essere firmato dal legale rappresentante/procuratore speciale di 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ogni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componente. </w:t>
            </w:r>
          </w:p>
          <w:p w:rsidR="00E70F3D" w:rsidRDefault="00E70F3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70F3D" w:rsidRDefault="00D50F6B">
            <w:r>
              <w:rPr>
                <w:rFonts w:ascii="Arial" w:hAnsi="Arial" w:cs="Arial"/>
                <w:bCs/>
                <w:sz w:val="16"/>
                <w:szCs w:val="16"/>
              </w:rPr>
              <w:t xml:space="preserve">In caso di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consorzi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di cui all’art. 46 co. 1 lett. f) del D.Lgs. 50/2016 che partecipano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in proprio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il Patto deve essere firmato dal legale rappresentante/procuratore speciale del consorzio. </w:t>
            </w:r>
          </w:p>
          <w:p w:rsidR="00E70F3D" w:rsidRDefault="00E70F3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E70F3D" w:rsidRDefault="00D50F6B"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 caso di consorzi di cui all’art. 46 co. 1 lett. f) del D.Lgs. 50/2016 che partecipano per alcune consorziate il Patto deve essere firmato dal legale rappresentante/procuratore speciale del consorzio e delle singole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consorziate esecutrici. </w:t>
            </w:r>
          </w:p>
        </w:tc>
      </w:tr>
    </w:tbl>
    <w:p w:rsidR="00E70F3D" w:rsidRDefault="00E70F3D">
      <w:pPr>
        <w:jc w:val="center"/>
        <w:rPr>
          <w:rFonts w:ascii="Arial" w:hAnsi="Arial" w:cs="Arial"/>
          <w:b/>
          <w:bCs/>
        </w:rPr>
      </w:pPr>
    </w:p>
    <w:p w:rsidR="00E70F3D" w:rsidRDefault="00E70F3D">
      <w:pPr>
        <w:jc w:val="center"/>
        <w:rPr>
          <w:rFonts w:ascii="Arial" w:hAnsi="Arial" w:cs="Arial"/>
          <w:b/>
          <w:bCs/>
        </w:rPr>
      </w:pPr>
    </w:p>
    <w:p w:rsidR="00E70F3D" w:rsidRDefault="00D50F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PATTO DI INTEGRITA’</w:t>
      </w:r>
    </w:p>
    <w:p w:rsidR="00E70F3D" w:rsidRDefault="00E70F3D">
      <w:pPr>
        <w:jc w:val="center"/>
        <w:rPr>
          <w:rFonts w:ascii="Arial" w:hAnsi="Arial" w:cs="Arial"/>
          <w:b/>
        </w:rPr>
      </w:pPr>
    </w:p>
    <w:p w:rsidR="00E70F3D" w:rsidRDefault="00D50F6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PROCEDURA APERTA PER L’AFFIDAMENTO DEL SERVIZIO DI RECUPERO, CUSTODIA E ACQUISTO DEI VEICOLI OGGETTO DEI PROVVEDIMENTI DI SEQUESTRO AMMINISTRATIVO, FERMO O CONFISCA AI SENSI DELL’ARTICOLO 214 BIS DEL D. LGS. N. 285/92 AMBITO TERRITORIALE PROVINCIALE DI </w:t>
      </w:r>
      <w:r w:rsidR="008700B3">
        <w:rPr>
          <w:rFonts w:ascii="Arial" w:hAnsi="Arial" w:cs="Arial"/>
          <w:b/>
          <w:sz w:val="22"/>
        </w:rPr>
        <w:t>PIACENZA</w:t>
      </w:r>
    </w:p>
    <w:p w:rsidR="007F0D50" w:rsidRPr="003A443E" w:rsidRDefault="007F0D50" w:rsidP="007F0D50">
      <w:pPr>
        <w:ind w:left="2832" w:firstLine="70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sz w:val="22"/>
        </w:rPr>
        <w:t xml:space="preserve">      </w:t>
      </w:r>
      <w:r w:rsidR="00D50F6B" w:rsidRPr="00D50F6B">
        <w:rPr>
          <w:rFonts w:ascii="Arial" w:hAnsi="Arial" w:cs="Arial"/>
          <w:b/>
          <w:sz w:val="22"/>
        </w:rPr>
        <w:t>CIG</w:t>
      </w:r>
      <w:r w:rsidR="00433E3A" w:rsidRPr="007F0D50">
        <w:rPr>
          <w:rFonts w:ascii="Arial" w:hAnsi="Arial" w:cs="Arial"/>
          <w:b/>
          <w:sz w:val="22"/>
          <w:szCs w:val="22"/>
        </w:rPr>
        <w:t xml:space="preserve"> </w:t>
      </w:r>
      <w:r w:rsidR="008700B3" w:rsidRPr="008700B3">
        <w:rPr>
          <w:rFonts w:ascii="Arial" w:hAnsi="Arial" w:cs="Arial"/>
          <w:b/>
          <w:color w:val="000000"/>
          <w:sz w:val="22"/>
          <w:szCs w:val="22"/>
        </w:rPr>
        <w:t>9798222495</w:t>
      </w:r>
    </w:p>
    <w:p w:rsidR="007F0D50" w:rsidRDefault="007F0D50">
      <w:pPr>
        <w:jc w:val="center"/>
        <w:rPr>
          <w:rFonts w:ascii="Arial" w:hAnsi="Arial" w:cs="Arial"/>
          <w:b/>
          <w:sz w:val="22"/>
        </w:rPr>
      </w:pPr>
    </w:p>
    <w:p w:rsidR="007F0D50" w:rsidRDefault="007F0D50">
      <w:pPr>
        <w:jc w:val="center"/>
        <w:rPr>
          <w:rFonts w:ascii="Arial" w:hAnsi="Arial" w:cs="Arial"/>
          <w:b/>
          <w:sz w:val="22"/>
        </w:rPr>
      </w:pPr>
    </w:p>
    <w:p w:rsidR="00E70F3D" w:rsidRDefault="00D50F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tra</w:t>
      </w:r>
    </w:p>
    <w:p w:rsidR="00E70F3D" w:rsidRDefault="00D50F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l’Agenzia del Demanio </w:t>
      </w:r>
    </w:p>
    <w:p w:rsidR="00E70F3D" w:rsidRDefault="00D50F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</w:p>
    <w:p w:rsidR="00E70F3D" w:rsidRDefault="00E70F3D">
      <w:pPr>
        <w:jc w:val="center"/>
        <w:rPr>
          <w:rFonts w:ascii="Arial" w:hAnsi="Arial" w:cs="Arial"/>
        </w:rPr>
      </w:pPr>
    </w:p>
    <w:p w:rsidR="00E70F3D" w:rsidRDefault="00D50F6B">
      <w:pPr>
        <w:spacing w:after="120" w:line="276" w:lineRule="auto"/>
      </w:pPr>
      <w:r>
        <w:rPr>
          <w:rFonts w:ascii="Arial" w:hAnsi="Arial" w:cs="Arial"/>
        </w:rPr>
        <w:t xml:space="preserve">Il/La sottoscritto/a </w:t>
      </w:r>
      <w:bookmarkStart w:id="0" w:name="Testo1"/>
      <w:r>
        <w:rPr>
          <w:rFonts w:ascii="Arial" w:hAnsi="Arial" w:cs="Arial"/>
        </w:rPr>
        <w:t xml:space="preserve">   </w:t>
      </w:r>
      <w:bookmarkEnd w:id="0"/>
      <w:r>
        <w:rPr>
          <w:rFonts w:ascii="Arial" w:hAnsi="Arial" w:cs="Arial"/>
        </w:rPr>
        <w:t xml:space="preserve"> nato/a a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CF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residente a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), via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n.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in qualità di:</w:t>
      </w:r>
    </w:p>
    <w:p w:rsidR="00E70F3D" w:rsidRDefault="00D50F6B">
      <w:pPr>
        <w:spacing w:after="120" w:line="276" w:lineRule="auto"/>
        <w:ind w:left="709"/>
      </w:pPr>
      <w:bookmarkStart w:id="1" w:name="Controllo1"/>
      <w:bookmarkEnd w:id="1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(se del caso)</w:t>
      </w:r>
      <w:r>
        <w:rPr>
          <w:rFonts w:ascii="Arial" w:hAnsi="Arial" w:cs="Arial"/>
        </w:rPr>
        <w:t xml:space="preserve"> legale rappresentante</w:t>
      </w:r>
      <w:r>
        <w:rPr>
          <w:rFonts w:ascii="Arial" w:hAnsi="Arial" w:cs="Arial"/>
          <w:i/>
        </w:rPr>
        <w:t xml:space="preserve"> </w:t>
      </w:r>
    </w:p>
    <w:p w:rsidR="00E70F3D" w:rsidRDefault="00D50F6B">
      <w:pPr>
        <w:spacing w:after="120" w:line="276" w:lineRule="auto"/>
        <w:ind w:left="709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(se del caso) </w:t>
      </w:r>
      <w:r>
        <w:rPr>
          <w:rFonts w:ascii="Arial" w:hAnsi="Arial" w:cs="Arial"/>
        </w:rPr>
        <w:t xml:space="preserve">procuratore generale/speciale, giusta procura allegata </w:t>
      </w:r>
    </w:p>
    <w:p w:rsidR="00E70F3D" w:rsidRDefault="00D50F6B">
      <w:pPr>
        <w:spacing w:after="120" w:line="276" w:lineRule="auto"/>
      </w:pPr>
      <w:r>
        <w:rPr>
          <w:rFonts w:ascii="Arial" w:hAnsi="Arial" w:cs="Arial"/>
        </w:rPr>
        <w:t xml:space="preserve">dell’operatore economico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  <w:i/>
        </w:rPr>
        <w:t xml:space="preserve"> (indicare la denominazione sociale)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  <w:i/>
        </w:rPr>
        <w:t xml:space="preserve"> (indicare la forma giuridica)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indicare la sede legale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indicare CF e PI</w:t>
      </w:r>
      <w:r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indicare indirizzo pec</w:t>
      </w:r>
      <w:r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</w:p>
    <w:p w:rsidR="00E70F3D" w:rsidRDefault="00D50F6B">
      <w:pPr>
        <w:spacing w:before="100"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VISTO</w:t>
      </w:r>
    </w:p>
    <w:p w:rsidR="00E70F3D" w:rsidRDefault="00D50F6B">
      <w:pPr>
        <w:spacing w:before="100" w:after="100"/>
      </w:pPr>
      <w:r>
        <w:rPr>
          <w:rFonts w:ascii="Arial" w:hAnsi="Arial" w:cs="Arial"/>
        </w:rPr>
        <w:t xml:space="preserve">- l’art. 1 co. 17 della L. 190/2012 </w:t>
      </w:r>
      <w:r>
        <w:rPr>
          <w:rFonts w:ascii="Arial" w:hAnsi="Arial" w:cs="Arial"/>
          <w:i/>
        </w:rPr>
        <w:t>“Disposizioni per la prevenzione e la repressione della corruzione e dell’illegalità nella pubblica amministrazione</w:t>
      </w:r>
      <w:r>
        <w:rPr>
          <w:rFonts w:ascii="Arial" w:hAnsi="Arial" w:cs="Arial"/>
        </w:rPr>
        <w:t xml:space="preserve">” il quale dispone che </w:t>
      </w:r>
      <w:r>
        <w:rPr>
          <w:rFonts w:ascii="Arial" w:hAnsi="Arial" w:cs="Arial"/>
          <w:i/>
        </w:rPr>
        <w:t>“le stazioni appaltanti possono prevedere negli avvisi, bandi di gara o lettere di invito che il mancato rispetto delle clausole contenute nei protocolli di legalità o nei patti di integrità costituisce causa di esclusione dalla gara”</w:t>
      </w:r>
      <w:r>
        <w:rPr>
          <w:rFonts w:ascii="Arial" w:hAnsi="Arial" w:cs="Arial"/>
        </w:rPr>
        <w:t>;</w:t>
      </w:r>
    </w:p>
    <w:p w:rsidR="00E70F3D" w:rsidRDefault="00D50F6B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- il Piano Triennale di Prevenzione della Corruzione (PTPC) dell’Agenzia del Demanio; </w:t>
      </w:r>
    </w:p>
    <w:p w:rsidR="00E70F3D" w:rsidRDefault="00E70F3D">
      <w:pPr>
        <w:spacing w:before="100" w:after="100"/>
        <w:jc w:val="center"/>
        <w:rPr>
          <w:rFonts w:ascii="Arial" w:hAnsi="Arial" w:cs="Arial"/>
          <w:b/>
        </w:rPr>
      </w:pPr>
    </w:p>
    <w:p w:rsidR="00E70F3D" w:rsidRDefault="00D50F6B">
      <w:pPr>
        <w:spacing w:before="100"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 CONVIENE E SI STIPULA QUANTO SEGUE</w:t>
      </w:r>
    </w:p>
    <w:p w:rsidR="00E70F3D" w:rsidRDefault="00E70F3D">
      <w:pPr>
        <w:spacing w:after="120"/>
        <w:rPr>
          <w:rFonts w:ascii="Arial" w:hAnsi="Arial" w:cs="Arial"/>
          <w:b/>
        </w:rPr>
      </w:pPr>
    </w:p>
    <w:p w:rsidR="00E70F3D" w:rsidRDefault="00D50F6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1 - Finalità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Il presente Patto d’integrità stabilisce la reciproca e formale obbligazione tra l’Agenzia del Demanio e l’operatore economico di improntare i propri comportamenti ai principi di lealtà, trasparenza e correttezza. </w:t>
      </w:r>
    </w:p>
    <w:p w:rsidR="00E70F3D" w:rsidRDefault="00D50F6B">
      <w:pPr>
        <w:tabs>
          <w:tab w:val="left" w:pos="360"/>
        </w:tabs>
        <w:spacing w:after="120"/>
      </w:pPr>
      <w:r>
        <w:rPr>
          <w:rFonts w:ascii="Arial" w:hAnsi="Arial" w:cs="Arial"/>
          <w:b/>
        </w:rPr>
        <w:t xml:space="preserve">Art. 2 - Durata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Il presente Patto e le relative sanzioni, di seguito indicate all’art. 5, sono applicabili fino alla completa esecuzione del contratto, al quale verrà formalmente allegato il presente documento, per costituirne parte integrante e sostanziale. 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3 - Obblighi a carico dell’operatore economico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Ai fini della formalizzazione dell’affidamento, l’operatore economico: 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- dichiara di non essere intervenuto nel procedimento amministrativo diretto a stabilire il contenuto delle prestazioni contrattuali al fine di condizionare le modalità di scelta del contraente da parte dell’Agenzia;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- dichiara di non aver corrisposto né promesso di corrispondere ad alcuno, direttamente o tramite terzi, ivi compresi soggetti collegati o controllati, somme di denaro o qualsiasi altra ricompensa, vantaggio o beneficio, per facilitare l’affidamento e/o gestione del contratto e si impegna altresì a non corrispondere né promettere di corrispondere altra ricompensa, vantaggio o beneficio per le suddette finalità;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- si obbliga a non ricorrere ad alcuna mediazione o altra opera di terzi finalizzata all’affidamento e/o gestione del contratto;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- si impegna a segnalare alla Stazione appaltante qualsiasi tentativo di turbativa, irregolarità o distorsione durante l’esecuzione del contratto, da parte di ogni interessato o addetto o di chiunque possa influenzare le decisioni relative al presente affidamento;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- dichiara, ai fini dell’applicazione dell’art. 53 co. 16 ter del D.Lgs. 165/2001, di non aver concluso contratti di lavoro subordinato o autonomo e, comunque, di non aver attribuito incarichi ad ex dipendenti dell’Agenzia che hanno esercitato poteri autoritativi o negoziali per conto della stessa nei loro confronti, per il triennio successivo alla cessazione del rapporto;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- dichiara di essere consapevole che, qualora emerga la situazione di cui al punto precedente, essa determinerà la nullità del contratto e il divieto di contrarre con l’Amministrazione per i successivi tre anni con obbligo di restituzione dei compensi eventualmente percepiti ed accertati in esecuzione dell’affidamento illegittimo;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- dichiara, ai fini dell’applicazione dell’art. 1 co. 9 lett. e) L. 190/2012, per sé e per i soci facenti parte della compagine sociale che:</w:t>
      </w:r>
    </w:p>
    <w:p w:rsidR="00E70F3D" w:rsidRDefault="00D50F6B">
      <w:pPr>
        <w:tabs>
          <w:tab w:val="left" w:pos="360"/>
        </w:tabs>
        <w:spacing w:after="120"/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1209037</wp:posOffset>
                </wp:positionH>
                <wp:positionV relativeFrom="paragraph">
                  <wp:posOffset>108585</wp:posOffset>
                </wp:positionV>
                <wp:extent cx="4143375" cy="283848"/>
                <wp:effectExtent l="0" t="0" r="28575" b="20952"/>
                <wp:wrapSquare wrapText="bothSides"/>
                <wp:docPr id="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83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0F3D" w:rsidRDefault="00D50F6B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u w:val="single"/>
                              </w:rPr>
                              <w:t>BARRARE UNA SOLA OPZIONE DELLE DUE CHE SEGUONO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5.2pt;margin-top:8.55pt;width:326.25pt;height:22.3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" strokeweight=".26467mm">
                <v:textbox>
                  <w:txbxContent>
                    <w:p w:rsidR="00E70F3D" w:rsidRDefault="00D50F6B">
                      <w:pPr>
                        <w:jc w:val="center"/>
                        <w:rPr>
                          <w:b/>
                          <w:color w:val="FF0000"/>
                          <w:sz w:val="16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u w:val="single"/>
                        </w:rPr>
                        <w:t>BARRARE UNA SOLA OPZIONE DELLE DUE CHE SEGUONO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70F3D" w:rsidRDefault="00E70F3D">
      <w:pPr>
        <w:tabs>
          <w:tab w:val="left" w:pos="360"/>
        </w:tabs>
        <w:spacing w:after="120"/>
        <w:rPr>
          <w:rFonts w:ascii="Arial" w:hAnsi="Arial" w:cs="Arial"/>
        </w:rPr>
      </w:pPr>
    </w:p>
    <w:p w:rsidR="00E70F3D" w:rsidRDefault="00D50F6B">
      <w:pPr>
        <w:tabs>
          <w:tab w:val="left" w:pos="360"/>
        </w:tabs>
        <w:spacing w:after="120"/>
        <w:ind w:left="36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-90699</wp:posOffset>
                </wp:positionH>
                <wp:positionV relativeFrom="paragraph">
                  <wp:posOffset>156371</wp:posOffset>
                </wp:positionV>
                <wp:extent cx="218440" cy="172081"/>
                <wp:effectExtent l="19050" t="38100" r="48260" b="18419"/>
                <wp:wrapNone/>
                <wp:docPr id="2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440" cy="172081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BE4B48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5225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-7.15pt;margin-top:12.3pt;width:17.2pt;height:13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" strokecolor="#be4b48" strokeweight="2.2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non sussistono relazioni di parentela o affinità con i dipendenti dell’Agenzia del Demanio</w:t>
      </w:r>
      <w:r>
        <w:rPr>
          <w:rFonts w:ascii="Arial" w:hAnsi="Arial" w:cs="Arial"/>
        </w:rPr>
        <w:t>;</w:t>
      </w:r>
    </w:p>
    <w:p w:rsidR="00E70F3D" w:rsidRDefault="00D50F6B">
      <w:pPr>
        <w:tabs>
          <w:tab w:val="left" w:pos="360"/>
        </w:tabs>
        <w:spacing w:after="120"/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-72886</wp:posOffset>
                </wp:positionH>
                <wp:positionV relativeFrom="paragraph">
                  <wp:posOffset>44348</wp:posOffset>
                </wp:positionV>
                <wp:extent cx="232412" cy="283848"/>
                <wp:effectExtent l="19050" t="19050" r="72388" b="40002"/>
                <wp:wrapNone/>
                <wp:docPr id="3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2" cy="283848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BE4B48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BBEE7" id="Connettore 2 2" o:spid="_x0000_s1026" type="#_x0000_t32" style="position:absolute;margin-left:-5.75pt;margin-top:3.5pt;width:18.3pt;height:2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" strokecolor="#be4b48" strokeweight="2.2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b/>
          <w:u w:val="single"/>
        </w:rPr>
        <w:t>ovvero</w:t>
      </w:r>
    </w:p>
    <w:p w:rsidR="00E70F3D" w:rsidRDefault="00D50F6B">
      <w:pPr>
        <w:tabs>
          <w:tab w:val="left" w:pos="360"/>
        </w:tabs>
        <w:spacing w:after="120"/>
        <w:ind w:left="360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sussistono relazioni di parentela o affinità con i dipendenti dell’Agenzia del Demanio, che, tuttavia, non hanno determinato alcun vantaggio per facilitare l’affidamento del servizio e si impegna, altresì, ad evitare che tali rapporti determinino eventuali benefici nella fase di esecutiva del contratto</w:t>
      </w:r>
      <w:r>
        <w:rPr>
          <w:rFonts w:ascii="Arial" w:hAnsi="Arial" w:cs="Arial"/>
        </w:rPr>
        <w:t xml:space="preserve">;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- si obbliga ad informare puntualmente tutto il personale di cui si avvale del presente Patto di integrità e degli obblighi in esso contenuti e a vigilare affinchè gli impegni sopra indicati siano osservati da tutti i collaboratori e dipendenti nell’esercizio dei compiti loro assegnati;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- si impegna ad osservare il Modello di organizzazione, gestione e controllo dell’Agenzia ex D.Lgs. 231/2001, reperibile sul sito istituzionale, ed a tenere un comportamento in linea con il relativo Codice Etico e, comunque, tale da non esporre l’Agenzia al rischio dell’applicazione delle sanzioni previste dal predetto decreto;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- si obbliga ad inserire identiche clausole di integrità ed anti-corruzione negli eventuali contratti di subappalto;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- si impegna a denunciare alle Autorità competenti ogni irregolarità o distorsione di cui sia venuta a conoscenza per quanto attiene l’attività di cui all’oggetto. 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4 - Obblighi a carico dell’Agenzia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L’Agenzia si impegna ad attivare procedimenti disciplinari nei confronti del personale coinvolto, a vario titolo, nel procedimento di scelta del contraente e nella fase esecutiva del contratto, in caso di accertata violazione dei principi di lealtà e correttezza dell’agire assunti con il presente Patto.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L’Agenzia assume l’espresso impegno anticorruzione di non offrire, accettare o richiedere somme di denaro o qualsiasi altra ricompensa, vantaggio o beneficio, per facilitare, sia direttamente che indirettamente, l’affidamento e/o gestione del contratto.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L’Agenzia si obbliga a garantire adeguata pubblicità degli atti inerenti il presente affidamento secondo le modalità previste dalla legge.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5 - Violazione del Patto di Integrità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La violazione degli impegni anticorruzione assunti con la sottoscrizione del presente Patto di integrità da parte dell’operatore economico potrà comportare, in ragione della fase in cui è accertato l’inadempimento: la risoluzione del contratto con conseguente contestuale segnalazione del fatto all’Anac.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La violazione delle obbligazioni assunte viene dichiarata dall’Agenzia a conclusione di un apposito procedimento di verifica, con le garanzie del contraddittorio per l’operatore economico interessato. L’Agenzia comunica l’avvio del procedimento d’ufficio all’operatore economico tramite comunicazione, a mezzo PEC, contenente sintetica motivazione. Eventuali controdeduzioni dovranno pervenire entro 15 giorni. L’Agenzia, decorsi 15 giorni dal ricevimento delle stesse, si pronuncerà definitivamente in merito alla violazione.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6 - Controversie </w:t>
      </w:r>
    </w:p>
    <w:p w:rsidR="00E70F3D" w:rsidRDefault="00D50F6B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Ogni controversia relativa all’interpretazione ed all’esecuzione del presente Patto di Integrità tra l’Agenzia ed i concorrenti ovvero tra gli stessi concorrenti sarà risolta dall’Autorità Giudiziaria competente in relazione al tipo di violazione. </w:t>
      </w:r>
    </w:p>
    <w:p w:rsidR="00E70F3D" w:rsidRDefault="00D50F6B">
      <w:pPr>
        <w:tabs>
          <w:tab w:val="left" w:pos="360"/>
        </w:tabs>
        <w:spacing w:before="100" w:after="100"/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E70F3D" w:rsidRDefault="00E70F3D">
      <w:pPr>
        <w:tabs>
          <w:tab w:val="left" w:pos="360"/>
        </w:tabs>
        <w:ind w:left="2126"/>
        <w:jc w:val="center"/>
        <w:rPr>
          <w:rFonts w:ascii="Arial" w:hAnsi="Arial" w:cs="Arial"/>
        </w:rPr>
      </w:pPr>
    </w:p>
    <w:sectPr w:rsidR="00E70F3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95" w:right="1134" w:bottom="1361" w:left="1134" w:header="389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AB" w:rsidRDefault="00CF7DAB">
      <w:r>
        <w:separator/>
      </w:r>
    </w:p>
  </w:endnote>
  <w:endnote w:type="continuationSeparator" w:id="0">
    <w:p w:rsidR="00CF7DAB" w:rsidRDefault="00CF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3A" w:rsidRDefault="00D50F6B">
    <w:pPr>
      <w:pStyle w:val="Pidipagina"/>
      <w:jc w:val="right"/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8700B3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:rsidR="009C753A" w:rsidRDefault="00CF7DAB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3A" w:rsidRDefault="00D50F6B">
    <w:pPr>
      <w:pStyle w:val="Pidipagina"/>
      <w:jc w:val="right"/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CF7DAB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:rsidR="009C753A" w:rsidRDefault="00CF7D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AB" w:rsidRDefault="00CF7DAB">
      <w:r>
        <w:rPr>
          <w:color w:val="000000"/>
        </w:rPr>
        <w:separator/>
      </w:r>
    </w:p>
  </w:footnote>
  <w:footnote w:type="continuationSeparator" w:id="0">
    <w:p w:rsidR="00CF7DAB" w:rsidRDefault="00CF7DAB">
      <w:r>
        <w:continuationSeparator/>
      </w:r>
    </w:p>
  </w:footnote>
  <w:footnote w:id="1">
    <w:p w:rsidR="00E70F3D" w:rsidRDefault="00D50F6B">
      <w:r>
        <w:rPr>
          <w:rStyle w:val="Rimandonotaapidipagina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Nota: </w:t>
      </w:r>
    </w:p>
    <w:p w:rsidR="00E70F3D" w:rsidRDefault="00D50F6B">
      <w:pPr>
        <w:numPr>
          <w:ilvl w:val="0"/>
          <w:numId w:val="1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nel caso di società, dal legale rappresentante/procuratore;</w:t>
      </w:r>
    </w:p>
    <w:p w:rsidR="00E70F3D" w:rsidRDefault="00D50F6B">
      <w:pPr>
        <w:numPr>
          <w:ilvl w:val="0"/>
          <w:numId w:val="1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nel caso di raggruppamento temporaneo costituito, dal legale rappresentante della mandataria/capofila;</w:t>
      </w:r>
    </w:p>
    <w:p w:rsidR="00E70F3D" w:rsidRDefault="00D50F6B">
      <w:pPr>
        <w:numPr>
          <w:ilvl w:val="0"/>
          <w:numId w:val="1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nel caso di raggruppamento temporaneo non ancora costituiti, dal legale rappresentante di ciascuno dei soggetti che costituiranno il raggruppamento; 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3A" w:rsidRDefault="00CF7DAB">
    <w:pPr>
      <w:pStyle w:val="Intestazione"/>
      <w:pBdr>
        <w:bottom w:val="single" w:sz="4" w:space="16" w:color="BFBFBF"/>
      </w:pBdr>
      <w:jc w:val="right"/>
      <w:rPr>
        <w:rFonts w:ascii="Arial" w:hAnsi="Arial" w:cs="Arial"/>
        <w:color w:val="808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3A" w:rsidRDefault="00D50F6B">
    <w:pPr>
      <w:pStyle w:val="Intestazione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color w:val="808080"/>
        <w:sz w:val="20"/>
        <w:szCs w:val="20"/>
      </w:rPr>
      <w:tab/>
    </w:r>
    <w:r>
      <w:rPr>
        <w:rFonts w:ascii="Arial" w:hAnsi="Arial" w:cs="Arial"/>
        <w:sz w:val="20"/>
        <w:szCs w:val="20"/>
      </w:rPr>
      <w:t>Allegato 4 Patto di integrità</w:t>
    </w:r>
  </w:p>
  <w:p w:rsidR="009C753A" w:rsidRDefault="00D50F6B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9C753A" w:rsidRDefault="00CF7DAB">
    <w:pPr>
      <w:pStyle w:val="Intestazione"/>
      <w:rPr>
        <w:rFonts w:ascii="Arial" w:hAnsi="Arial"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74335"/>
    <w:multiLevelType w:val="multilevel"/>
    <w:tmpl w:val="2BC4684C"/>
    <w:lvl w:ilvl="0">
      <w:numFmt w:val="bullet"/>
      <w:lvlText w:val="-"/>
      <w:lvlJc w:val="left"/>
      <w:pPr>
        <w:ind w:left="720" w:hanging="360"/>
      </w:pPr>
      <w:rPr>
        <w:rFonts w:ascii="Garamond" w:hAnsi="Garamond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3D"/>
    <w:rsid w:val="00086E8A"/>
    <w:rsid w:val="00346952"/>
    <w:rsid w:val="00433E3A"/>
    <w:rsid w:val="00443B30"/>
    <w:rsid w:val="006110EB"/>
    <w:rsid w:val="006F66F9"/>
    <w:rsid w:val="007F0D50"/>
    <w:rsid w:val="008700B3"/>
    <w:rsid w:val="00903FF7"/>
    <w:rsid w:val="00CF7DAB"/>
    <w:rsid w:val="00D50F6B"/>
    <w:rsid w:val="00E7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DCD5"/>
  <w15:docId w15:val="{24445D04-5F17-49A3-A7C6-A4894B0E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color w:val="000000"/>
    </w:rPr>
  </w:style>
  <w:style w:type="paragraph" w:styleId="Titolo2">
    <w:name w:val="heading 2"/>
    <w:basedOn w:val="Normale"/>
    <w:next w:val="Normale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Book Antiqua" w:hAnsi="Book Antiqua"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spacing w:after="120"/>
      <w:ind w:firstLine="567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rPr>
      <w:rFonts w:ascii="Book Antiqua" w:hAnsi="Book Antiqua"/>
      <w:sz w:val="24"/>
      <w:szCs w:val="24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Corpodeltesto">
    <w:name w:val="Corpo del testo"/>
    <w:basedOn w:val="Normale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rPr>
      <w:rFonts w:ascii="Book Antiqua" w:hAnsi="Book Antiqua"/>
      <w:sz w:val="24"/>
    </w:rPr>
  </w:style>
  <w:style w:type="paragraph" w:styleId="Paragrafoelenco">
    <w:name w:val="List Paragraph"/>
    <w:basedOn w:val="Normale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263">
    <w:name w:val="style263"/>
    <w:basedOn w:val="Normale"/>
    <w:pPr>
      <w:spacing w:before="100" w:after="100"/>
      <w:jc w:val="left"/>
    </w:pPr>
    <w:rPr>
      <w:rFonts w:ascii="Times New Roman" w:hAnsi="Times New Roman"/>
      <w:color w:val="0066FF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Book Antiqua" w:hAnsi="Book Antiqua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Rimandocommento">
    <w:name w:val="annotation reference"/>
    <w:basedOn w:val="Carpredefinitoparagrafo"/>
    <w:rPr>
      <w:sz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Book Antiqua" w:hAnsi="Book Antiqua"/>
      <w:b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P1044432\Desktop\Documents\GARA%20CUSTODE%20ACQUIRENTE%202023\PROCEDURA%20GARA%202023%20C6\ATTI%20DI%20GARA%20FORLI'-CESENA\ALLEGATI%20FERRARA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1</TotalTime>
  <Pages>3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CENSRVVSCM005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rosario.plescia@dippp.interno.it</cp:lastModifiedBy>
  <cp:revision>3</cp:revision>
  <cp:lastPrinted>2018-11-30T14:24:00Z</cp:lastPrinted>
  <dcterms:created xsi:type="dcterms:W3CDTF">2023-06-22T20:05:00Z</dcterms:created>
  <dcterms:modified xsi:type="dcterms:W3CDTF">2023-06-22T20:31:00Z</dcterms:modified>
</cp:coreProperties>
</file>