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2"/>
        <w:spacing w:lineRule="auto" w:line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Corpodeltesto2"/>
        <w:spacing w:lineRule="auto" w:line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Dichiarazione sostitutiva di certificazione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(D.P.R. n. 445 del 28.12.2000)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 w:start="4956" w:end="0"/>
        <w:rPr>
          <w:sz w:val="22"/>
          <w:szCs w:val="22"/>
        </w:rPr>
      </w:pPr>
      <w:r>
        <w:rPr>
          <w:sz w:val="22"/>
          <w:szCs w:val="22"/>
        </w:rPr>
        <w:t xml:space="preserve">Alla Prefettura U.T.G. </w:t>
      </w:r>
    </w:p>
    <w:p>
      <w:pPr>
        <w:pStyle w:val="Normal"/>
        <w:ind w:firstLine="708" w:start="4248" w:end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di Monza e della Brianza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_l_ sottoscritt_ (nome e cognome) _____________________________________________________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nat_ a __________________________ Prov. ________ il ________________ residente a________________________via/piazza_____________________________________n.__________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Fiscale_____________________________________________________________________</w:t>
      </w:r>
    </w:p>
    <w:p>
      <w:pPr>
        <w:pStyle w:val="Normal"/>
        <w:spacing w:lineRule="auto" w: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Quale familiare convivente del Sig._______________________,  titolare/socio (indicare la carica all’interno della ditta)_________________________________________________ _______________,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ind w:hanging="0" w:start="0" w:end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che nei propri confronti non sussistono cause di decadenza, di sospensione o di divieto previste dall’art. 67 del d.lgs 159/2011 o tentativi di infiltrazione mafiosa di cui all'articolo 87, co. 4, del medesimo decreto.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                         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data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  <w:tab/>
        <w:tab/>
        <w:tab/>
        <w:t xml:space="preserve">firma leggibile del dichiarante (*)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N.B.: La presente dichiarazione deve essere compilata esclusivamente in formato Word o a stampatello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L’Amministrazione si riserva di effettuare controlli, anche a campione, sulla veridicità delle dichiarazioni (art. 71, comma 1, D.P.R. 445/2000).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caso di dichiarazione falsa il cittadino </w:t>
      </w:r>
      <w:r>
        <w:rPr>
          <w:b/>
          <w:bCs/>
          <w:sz w:val="22"/>
          <w:szCs w:val="22"/>
        </w:rPr>
        <w:t>sarà denunciato all’autorità giudiziaria</w:t>
      </w:r>
      <w:r>
        <w:rPr>
          <w:sz w:val="22"/>
          <w:szCs w:val="22"/>
        </w:rPr>
        <w:t xml:space="preserve">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(*) La dichiarazione sostitutiva va redatta da tutti i soggetti di cui all’art. 85 del D.Lgs 159/2011.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(**) Per “</w:t>
      </w:r>
      <w:r>
        <w:rPr>
          <w:b/>
          <w:sz w:val="22"/>
          <w:szCs w:val="22"/>
        </w:rPr>
        <w:t>familiari conviventi</w:t>
      </w:r>
      <w:r>
        <w:rPr>
          <w:sz w:val="22"/>
          <w:szCs w:val="22"/>
        </w:rPr>
        <w:t>” si intendono “</w:t>
      </w:r>
      <w:r>
        <w:rPr>
          <w:b/>
          <w:sz w:val="22"/>
          <w:szCs w:val="22"/>
        </w:rPr>
        <w:t>chiunque conviva</w:t>
      </w:r>
      <w:r>
        <w:rPr>
          <w:sz w:val="22"/>
          <w:szCs w:val="22"/>
        </w:rPr>
        <w:t xml:space="preserve">” con i soggetti di cui all’art. 85 del D.Lgs 159/2011, purché maggiorenni.      </w:t>
      </w:r>
    </w:p>
    <w:tbl>
      <w:tblPr>
        <w:tblW w:w="9639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686"/>
        <w:gridCol w:w="5953"/>
      </w:tblGrid>
      <w:tr>
        <w:trPr/>
        <w:tc>
          <w:tcPr>
            <w:tcW w:w="963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nuovi controlli antimafia introdotti dal D.Lgs n. 159/2011 e successive modifiche e correzioni (D.Lgs. 218/2012)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963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Art. 85 del D.Lgs 159/2011 *(vedi nota  a margine sugli ulteriori controlli)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Impresa individuale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Paragrafoelenco"/>
              <w:numPr>
                <w:ilvl w:val="0"/>
                <w:numId w:val="12"/>
              </w:numPr>
              <w:spacing w:lineRule="auto" w:line="240" w:before="0" w:after="0"/>
              <w:contextualSpacing/>
              <w:rPr/>
            </w:pPr>
            <w:r>
              <w:rPr/>
              <w:t xml:space="preserve">Titolare dell’impresa </w:t>
            </w:r>
          </w:p>
          <w:p>
            <w:pPr>
              <w:pStyle w:val="Paragrafoelenco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 xml:space="preserve">direttore tecnico (se previsto)  </w:t>
            </w:r>
          </w:p>
          <w:p>
            <w:pPr>
              <w:pStyle w:val="Paragrafoelenco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 xml:space="preserve">familiari conviventi dei soggetti di cui ai punti 1 e 2 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Associazioni 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ind w:hanging="360" w:start="742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Legali rappresentanti</w:t>
            </w:r>
          </w:p>
          <w:p>
            <w:pPr>
              <w:pStyle w:val="Normal"/>
              <w:numPr>
                <w:ilvl w:val="0"/>
                <w:numId w:val="6"/>
              </w:numPr>
              <w:ind w:hanging="360" w:start="742" w:end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membri del collegio dei revisori dei conti o sindacale (se previsti)</w:t>
            </w:r>
          </w:p>
          <w:p>
            <w:pPr>
              <w:pStyle w:val="Normal"/>
              <w:numPr>
                <w:ilvl w:val="0"/>
                <w:numId w:val="6"/>
              </w:numPr>
              <w:ind w:hanging="360" w:start="742" w:end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familiari conviventi dei soggetti di cui al punto 1 e 2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di capitali o cooperative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Paragrafoelenco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/>
              <w:t xml:space="preserve">Legale rappresentante </w:t>
            </w:r>
          </w:p>
          <w:p>
            <w:pPr>
              <w:pStyle w:val="Paragrafoelenco"/>
              <w:numPr>
                <w:ilvl w:val="0"/>
                <w:numId w:val="2"/>
              </w:numPr>
              <w:spacing w:lineRule="auto" w:line="240" w:before="0" w:after="0"/>
              <w:ind w:hanging="360" w:start="720" w:end="-108"/>
              <w:contextualSpacing/>
              <w:rPr/>
            </w:pPr>
            <w:r>
              <w:rPr/>
              <w:t>Amministratori (presidente del CdA/amministratore   delegato, consiglieri)</w:t>
            </w:r>
          </w:p>
          <w:p>
            <w:pPr>
              <w:pStyle w:val="Paragrafoelenco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membri del collegio sindacale</w:t>
            </w:r>
          </w:p>
          <w:p>
            <w:pPr>
              <w:pStyle w:val="Paragrafoelenco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 xml:space="preserve">socio di maggioranza (nelle società con un numero di soci pari o inferiore a 4) </w:t>
            </w:r>
          </w:p>
          <w:p>
            <w:pPr>
              <w:pStyle w:val="Paragrafoelenco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socio ( in caso di società unipersonale)</w:t>
            </w:r>
          </w:p>
          <w:p>
            <w:pPr>
              <w:pStyle w:val="Paragrafoelenco"/>
              <w:numPr>
                <w:ilvl w:val="0"/>
                <w:numId w:val="2"/>
              </w:numPr>
              <w:spacing w:lineRule="auto" w:line="240" w:before="0" w:after="0"/>
              <w:ind w:hanging="360" w:start="720" w:end="175"/>
              <w:contextualSpacing/>
              <w:jc w:val="both"/>
              <w:rPr>
                <w:b/>
              </w:rPr>
            </w:pPr>
            <w:r>
              <w:rPr>
                <w:b/>
              </w:rPr>
              <w:t>membri del collegio sindacale o, nei casi  contemplati dall’ art. 2477 del codice civile, al sindaco, nonché ai soggetti che svolgono i compiti di vigilanza di cui all’art. 6, comma 1, lettera b) del D.Lgs 231/2001;</w:t>
            </w:r>
          </w:p>
          <w:p>
            <w:pPr>
              <w:pStyle w:val="Paragrafoelenco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 xml:space="preserve">familiari conviventi dei soggetti di cui ai punti 1-2-3-4-5-6-7 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semplice e in nome collettivo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Paragrafoelenco"/>
              <w:numPr>
                <w:ilvl w:val="0"/>
                <w:numId w:val="7"/>
              </w:numPr>
              <w:spacing w:lineRule="auto" w:line="240" w:before="0" w:after="0"/>
              <w:contextualSpacing/>
              <w:rPr/>
            </w:pPr>
            <w:r>
              <w:rPr/>
              <w:t>tutti i soci</w:t>
            </w:r>
          </w:p>
          <w:p>
            <w:pPr>
              <w:pStyle w:val="Paragrafoelenco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>
            <w:pPr>
              <w:pStyle w:val="Paragrafoelenco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familiari  conviventi dei soggetti di cui ai punti 1,2 e 3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in accomandita semplice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Paragrafoelenco"/>
              <w:numPr>
                <w:ilvl w:val="0"/>
                <w:numId w:val="10"/>
              </w:numPr>
              <w:spacing w:lineRule="auto" w:line="240" w:before="0" w:after="0"/>
              <w:contextualSpacing/>
              <w:rPr/>
            </w:pPr>
            <w:r>
              <w:rPr/>
              <w:t>soci accomandatari</w:t>
            </w:r>
          </w:p>
          <w:p>
            <w:pPr>
              <w:pStyle w:val="Paragrafoelenco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>
            <w:pPr>
              <w:pStyle w:val="Paragrafoelenco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familiari  conviventi dei soggetti di cui ai punti 1,2 e 3</w:t>
            </w:r>
          </w:p>
        </w:tc>
      </w:tr>
      <w:tr>
        <w:trPr>
          <w:trHeight w:val="1198" w:hRule="atLeast"/>
        </w:trPr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estere con sede secondaria  in Italia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Paragrafoelenco"/>
              <w:numPr>
                <w:ilvl w:val="0"/>
                <w:numId w:val="9"/>
              </w:numPr>
              <w:spacing w:lineRule="auto" w:line="240" w:before="0" w:after="0"/>
              <w:contextualSpacing/>
              <w:rPr/>
            </w:pPr>
            <w:r>
              <w:rPr/>
              <w:t>coloro che le rappresentano stabilmente in Italia</w:t>
            </w:r>
          </w:p>
          <w:p>
            <w:pPr>
              <w:pStyle w:val="Paragrafoelenco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>
            <w:pPr>
              <w:pStyle w:val="Paragrafoelenco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familiari  conviventi dei soggetti di cui ai punti 1, 2  e 3</w:t>
            </w:r>
          </w:p>
          <w:p>
            <w:pPr>
              <w:pStyle w:val="Normal"/>
              <w:ind w:start="360" w:end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1198" w:hRule="atLeast"/>
        </w:trPr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estere  prive di sede secondaria  con rappresentanza stabile in Italia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Paragrafoelenco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Coloro che esercitano poteri di amministrazione (presidente del CdA/amministratore   delegato, consiglieri) rappresentanza o direzione dell’ impresa</w:t>
            </w:r>
          </w:p>
          <w:p>
            <w:pPr>
              <w:pStyle w:val="Paragrafoelenco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familiari  conviventi dei soggetti di cui al punto 1</w:t>
            </w:r>
          </w:p>
          <w:p>
            <w:pPr>
              <w:pStyle w:val="Paragrafoelenco"/>
              <w:spacing w:lineRule="auto" w:line="240" w:before="0" w:after="0"/>
              <w:ind w:start="360" w:end="0"/>
              <w:contextualSpacing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98" w:hRule="atLeast"/>
        </w:trPr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personali (oltre a quanto espressamente previsto per le società in nome collettivo e accomandita semplice)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Paragrafoelenco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Soci persone fisiche delle società personali o di capitali che sono socie della società personale esaminata</w:t>
            </w:r>
          </w:p>
          <w:p>
            <w:pPr>
              <w:pStyle w:val="Paragrafoelenco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>
            <w:pPr>
              <w:pStyle w:val="Paragrafoelenco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familiari conviventi dei soggetti di cui ai punti 1,2 e 3</w:t>
            </w:r>
          </w:p>
        </w:tc>
      </w:tr>
      <w:tr>
        <w:trPr>
          <w:trHeight w:val="1198" w:hRule="atLeast"/>
        </w:trPr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Paragrafoelenco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>legale rappresentante</w:t>
            </w:r>
          </w:p>
          <w:p>
            <w:pPr>
              <w:pStyle w:val="Paragrafoelenco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>componenti organo di amministrazione (presidente del CdA/amministratore   delegato, consiglieri)**</w:t>
            </w:r>
          </w:p>
          <w:p>
            <w:pPr>
              <w:pStyle w:val="Paragrafoelenco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membri del collegio sindacale (se previsti)***</w:t>
            </w:r>
          </w:p>
          <w:p>
            <w:pPr>
              <w:pStyle w:val="Paragrafoelenco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 ai soci o consorziati per conto dei quali le società consortili o i consorzi operino in modo esclusivo nei confronti della pubblica amministrazione;</w:t>
            </w:r>
          </w:p>
          <w:p>
            <w:pPr>
              <w:pStyle w:val="Paragrafoelenco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familiari conviventi dei soggetti di cui ai punti 1,2,3,4 e 5</w:t>
            </w:r>
          </w:p>
        </w:tc>
      </w:tr>
      <w:tr>
        <w:trPr>
          <w:trHeight w:val="1198" w:hRule="atLeast"/>
        </w:trPr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Consorzi ex art. 2602 c.c. non aventi attività esterna e per i gruppi europei di interesse economico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Paragrafoelenco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/>
              <w:t>legale rappresentante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/>
              <w:t>eventuali componenti dell’ organo di amministrazione (presidente del CdA/amministratore   delegato, consiglieri)**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/>
              <w:t>imprenditori e società consorziate ( e relativi legale rappresentante ed eventuali componenti dell’ organo di amministrazione)**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membri del collegio sindacale (se previsti)***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familiari conviventi dei soggetti di cui ai punti 1,2,3,4 e 5</w:t>
            </w:r>
          </w:p>
        </w:tc>
      </w:tr>
      <w:tr>
        <w:trPr>
          <w:trHeight w:val="1198" w:hRule="atLeast"/>
        </w:trPr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Raggruppamenti temporanei di imprese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Paragrafoelenco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tutte le imprese costituenti il Raggruppamento anche se aventi sede all’ estero, nonché le persone fisiche presenti al loro interno, come individuate per ciascuna  tipologia di imprese e società</w:t>
            </w:r>
          </w:p>
          <w:p>
            <w:pPr>
              <w:pStyle w:val="Paragrafoelenco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membri del collegio sindacale (se previsti)**</w:t>
            </w:r>
          </w:p>
          <w:p>
            <w:pPr>
              <w:pStyle w:val="Paragrafoelenco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familiari conviventi dei soggetti di cui ai punti 1, 2 e 3</w:t>
            </w:r>
          </w:p>
        </w:tc>
      </w:tr>
      <w:tr>
        <w:trPr>
          <w:trHeight w:val="1198" w:hRule="atLeast"/>
        </w:trPr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>
              <w:rPr>
                <w:b/>
                <w:sz w:val="22"/>
                <w:szCs w:val="22"/>
                <w:u w:val="single"/>
              </w:rPr>
              <w:t>concessionarie nel settore dei giochi pubblici</w:t>
            </w:r>
          </w:p>
        </w:tc>
        <w:tc>
          <w:tcPr>
            <w:tcW w:w="5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societa'socia, alle persone fisiche che, direttamente o indirettamente, controllano tale societa', nonche' ai direttori generali e ai soggetti responsabili delle sedi secondarie o delle stabili organizzazioni in Italia di soggetti non residenti. La documentazione di cui al periodo precedente deve riferirsi anche al coniuge non separato.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>
      <w:pPr>
        <w:pStyle w:val="Paragrafoelenco"/>
        <w:ind w:start="0" w:end="0"/>
        <w:jc w:val="both"/>
        <w:rPr/>
      </w:pPr>
      <w:r>
        <w:rPr/>
      </w:r>
    </w:p>
    <w:p>
      <w:pPr>
        <w:pStyle w:val="Normal"/>
        <w:tabs>
          <w:tab w:val="clear" w:pos="708"/>
          <w:tab w:val="left" w:pos="1560" w:leader="none"/>
        </w:tabs>
        <w:ind w:end="-143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*</w:t>
      </w:r>
      <w:r>
        <w:rPr>
          <w:b/>
          <w:sz w:val="22"/>
          <w:szCs w:val="22"/>
        </w:rPr>
        <w:t>Ulteriori controlli</w:t>
      </w:r>
      <w:r>
        <w:rPr>
          <w:sz w:val="22"/>
          <w:szCs w:val="22"/>
        </w:rPr>
        <w:t>: si precisa che i controlli antimafia sono effettuati anche sui</w:t>
      </w:r>
      <w:r>
        <w:rPr>
          <w:b/>
          <w:sz w:val="22"/>
          <w:szCs w:val="22"/>
        </w:rPr>
        <w:t xml:space="preserve"> procuratori e sui procuratori speciali (</w:t>
      </w:r>
      <w:r>
        <w:rPr>
          <w:sz w:val="22"/>
          <w:szCs w:val="22"/>
        </w:rPr>
        <w:t xml:space="preserve">che, sulla base dei poteri conferitigli, siano legittimati a partecipare alle procedure di affidamento di appalti pubblici di cui al D.Lgs 163/2006, a stipulare i relativi contratti in caso di aggiudicazione </w:t>
      </w:r>
      <w:r>
        <w:rPr>
          <w:sz w:val="22"/>
          <w:szCs w:val="22"/>
          <w:u w:val="single"/>
        </w:rPr>
        <w:t>per i quali sia richiesta la documentazione antimafia</w:t>
      </w:r>
      <w:r>
        <w:rPr>
          <w:sz w:val="22"/>
          <w:szCs w:val="22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nonché</w:t>
      </w:r>
      <w:r>
        <w:rPr>
          <w:b/>
          <w:sz w:val="22"/>
          <w:szCs w:val="22"/>
        </w:rPr>
        <w:t>, nei casi contemplati dall’art. art. 2477</w:t>
      </w:r>
      <w:r>
        <w:rPr>
          <w:sz w:val="22"/>
          <w:szCs w:val="22"/>
        </w:rPr>
        <w:t xml:space="preserve"> del c.c., </w:t>
      </w:r>
      <w:r>
        <w:rPr>
          <w:b/>
          <w:sz w:val="22"/>
          <w:szCs w:val="22"/>
        </w:rPr>
        <w:t>al sindaco</w:t>
      </w:r>
      <w:r>
        <w:rPr>
          <w:sz w:val="22"/>
          <w:szCs w:val="22"/>
        </w:rPr>
        <w:t xml:space="preserve">, nonché ai </w:t>
      </w:r>
      <w:r>
        <w:rPr>
          <w:b/>
          <w:sz w:val="22"/>
          <w:szCs w:val="22"/>
        </w:rPr>
        <w:t>soggetti che svolgono i compiti di vigilanza</w:t>
      </w:r>
      <w:r>
        <w:rPr>
          <w:sz w:val="22"/>
          <w:szCs w:val="22"/>
        </w:rPr>
        <w:t xml:space="preserve"> di cui all’art. 6, comma 1 , lett. b) del D.Lgs  8 giugno 2011, n. 231. </w:t>
      </w:r>
    </w:p>
    <w:p>
      <w:pPr>
        <w:pStyle w:val="Normal"/>
        <w:tabs>
          <w:tab w:val="clear" w:pos="708"/>
          <w:tab w:val="left" w:pos="1560" w:leader="none"/>
        </w:tabs>
        <w:ind w:end="-14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1560" w:leader="none"/>
        </w:tabs>
        <w:ind w:end="-143"/>
        <w:jc w:val="both"/>
        <w:rPr/>
      </w:pPr>
      <w:r>
        <w:rPr>
          <w:b/>
          <w:sz w:val="22"/>
          <w:szCs w:val="22"/>
        </w:rPr>
        <w:t>**Per componenti del consiglio di amministrazione</w:t>
      </w:r>
      <w:r>
        <w:rPr>
          <w:sz w:val="22"/>
          <w:szCs w:val="22"/>
        </w:rPr>
        <w:t xml:space="preserve"> si intendono: presidente del C.d.A., Amministratore Delegato, Consiglieri.</w:t>
      </w:r>
    </w:p>
    <w:p>
      <w:pPr>
        <w:pStyle w:val="Normal"/>
        <w:tabs>
          <w:tab w:val="clear" w:pos="708"/>
          <w:tab w:val="left" w:pos="1560" w:leader="none"/>
        </w:tabs>
        <w:ind w:end="-143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560" w:leader="none"/>
        </w:tabs>
        <w:ind w:end="-143"/>
        <w:jc w:val="both"/>
        <w:rPr/>
      </w:pPr>
      <w:r>
        <w:rPr>
          <w:sz w:val="22"/>
          <w:szCs w:val="22"/>
        </w:rPr>
        <w:t xml:space="preserve">*** </w:t>
      </w:r>
      <w:r>
        <w:rPr>
          <w:b/>
          <w:sz w:val="22"/>
          <w:szCs w:val="22"/>
        </w:rPr>
        <w:t>Per sindaci</w:t>
      </w:r>
      <w:r>
        <w:rPr>
          <w:sz w:val="22"/>
          <w:szCs w:val="22"/>
        </w:rPr>
        <w:t xml:space="preserve"> si intendono sia quelli effettivi che supplenti.</w:t>
      </w:r>
    </w:p>
    <w:p>
      <w:pPr>
        <w:pStyle w:val="Normal"/>
        <w:tabs>
          <w:tab w:val="clear" w:pos="708"/>
          <w:tab w:val="left" w:pos="1134" w:leader="none"/>
        </w:tabs>
        <w:ind w:end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Procedimento di rilascio delle informazioni antimafia</w:t>
      </w:r>
    </w:p>
    <w:p>
      <w:pPr>
        <w:pStyle w:val="Normal"/>
        <w:tabs>
          <w:tab w:val="clear" w:pos="708"/>
          <w:tab w:val="left" w:pos="1134" w:leader="none"/>
        </w:tabs>
        <w:ind w:end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1134" w:leader="none"/>
        </w:tabs>
        <w:ind w:end="-143"/>
        <w:jc w:val="both"/>
        <w:rPr/>
      </w:pPr>
      <w:r>
        <w:rPr>
          <w:sz w:val="22"/>
          <w:szCs w:val="22"/>
        </w:rPr>
        <w:t>L’ Ente Pubblico/Stazione Appaltante dovrà acquisire dalla società interessata (che ha la sede legale nella provincia di Monza e della Brianza) la dichiarazione sostitutiva del certificato di iscrizione alla CCIAA redatta dal rappresentante legale della società e contenente tutti i componenti dell’ attuale compagine societaria, ai sensi dell’ art. 85 del D. Lgs. 159/2011.</w:t>
      </w:r>
    </w:p>
    <w:p>
      <w:pPr>
        <w:pStyle w:val="Normal"/>
        <w:tabs>
          <w:tab w:val="clear" w:pos="708"/>
          <w:tab w:val="left" w:pos="1134" w:leader="none"/>
        </w:tabs>
        <w:ind w:end="-143"/>
        <w:jc w:val="both"/>
        <w:rPr>
          <w:sz w:val="22"/>
          <w:szCs w:val="22"/>
        </w:rPr>
      </w:pPr>
      <w:r>
        <w:rPr>
          <w:sz w:val="22"/>
          <w:szCs w:val="22"/>
        </w:rPr>
        <w:t>Dovrà essere, inoltre, acquisita la dichiarazione sostitutiva riferita ai  familiari conviventi dei soggetti da controllare a norma dell’ art. 85 del D.Lgs. 159/2011.</w:t>
      </w:r>
    </w:p>
    <w:p>
      <w:pPr>
        <w:pStyle w:val="Normal"/>
        <w:tabs>
          <w:tab w:val="clear" w:pos="708"/>
          <w:tab w:val="left" w:pos="1560" w:leader="none"/>
        </w:tabs>
        <w:ind w:end="-143"/>
        <w:jc w:val="both"/>
        <w:rPr>
          <w:sz w:val="22"/>
          <w:szCs w:val="22"/>
        </w:rPr>
      </w:pPr>
      <w:r>
        <w:rPr>
          <w:sz w:val="22"/>
          <w:szCs w:val="22"/>
        </w:rPr>
        <w:t>Successivamente, l’ Ente Pubblico/Stazione Appaltante provvederà a trasmettere la richiesta di informazioni antimafia, corredata delle dichiarazioni sostitutive, a questa Prefettura che procederà alle verifiche di cui agli artt. 84 e ss. del D.Lgs. n. 159/2011.</w:t>
      </w:r>
    </w:p>
    <w:p>
      <w:pPr>
        <w:pStyle w:val="Normal"/>
        <w:tabs>
          <w:tab w:val="clear" w:pos="708"/>
          <w:tab w:val="left" w:pos="1560" w:leader="none"/>
        </w:tabs>
        <w:ind w:end="-143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>
        <w:rPr>
          <w:rFonts w:cs="Bookman Old Style" w:ascii="Bookman Old Style" w:hAnsi="Bookman Old Style"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1560" w:leader="none"/>
        </w:tabs>
        <w:ind w:end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Concetto di “familiari conviventi”</w:t>
      </w:r>
    </w:p>
    <w:p>
      <w:pPr>
        <w:pStyle w:val="Normal"/>
        <w:ind w:end="-143"/>
        <w:jc w:val="both"/>
        <w:rPr/>
      </w:pPr>
      <w:r>
        <w:rPr>
          <w:sz w:val="22"/>
          <w:szCs w:val="22"/>
        </w:rPr>
        <w:t>Per quanto concerne la nozione di “familiari conviventi”, si precisa che per essi si intende “</w:t>
      </w:r>
      <w:r>
        <w:rPr>
          <w:b/>
          <w:sz w:val="22"/>
          <w:szCs w:val="22"/>
        </w:rPr>
        <w:t>chiunque conviva</w:t>
      </w:r>
      <w:r>
        <w:rPr>
          <w:sz w:val="22"/>
          <w:szCs w:val="22"/>
        </w:rPr>
        <w:t xml:space="preserve">” con i soggetti da controllare ex art. 85 del D.Lgs 159/2011, </w:t>
      </w:r>
      <w:r>
        <w:rPr>
          <w:b/>
          <w:sz w:val="22"/>
          <w:szCs w:val="22"/>
        </w:rPr>
        <w:t>purché maggiorenne</w:t>
      </w:r>
      <w:r>
        <w:rPr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1276" w:leader="none"/>
        </w:tabs>
        <w:ind w:end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 Circolare n. 11001/119/20(8) dell’ 11/07/2013 il Ministero dell’ Interno ha  precisato che per le società costituite all’ estero, prive di una sede secondaria con rappresentanza stabile in Italia sono esclusi i controlli sui familiari conviventi dei soggetti che esercitano poteri di amministrazione, di rappresentanza o di direzione dell’ impresa.</w:t>
      </w:r>
    </w:p>
    <w:p>
      <w:pPr>
        <w:pStyle w:val="Normal"/>
        <w:ind w:end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end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Concetto di “socio di maggioranza”</w:t>
      </w:r>
    </w:p>
    <w:p>
      <w:pPr>
        <w:pStyle w:val="Normal"/>
        <w:ind w:end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end="-143"/>
        <w:jc w:val="both"/>
        <w:rPr>
          <w:sz w:val="22"/>
          <w:szCs w:val="22"/>
        </w:rPr>
      </w:pPr>
      <w:r>
        <w:rPr>
          <w:sz w:val="22"/>
          <w:szCs w:val="22"/>
        </w:rPr>
        <w:t>Per socio di maggioranza si intende “la persona fisica o giuridica che detiene la maggioranza relativa delle quote o azioni della società interessata”.</w:t>
      </w:r>
    </w:p>
    <w:p>
      <w:pPr>
        <w:pStyle w:val="Normal"/>
        <w:ind w:end="-143"/>
        <w:jc w:val="both"/>
        <w:rPr>
          <w:sz w:val="22"/>
          <w:szCs w:val="22"/>
        </w:rPr>
      </w:pPr>
      <w:r>
        <w:rPr>
          <w:sz w:val="22"/>
          <w:szCs w:val="22"/>
        </w:rPr>
        <w:t>Nel caso di più soci (es. 3 o 4) con la medesima percentuale di quote o azioni del capitale sociale della società interessata, non è richiesta alcuna documentazione relativa al socio di maggioranza.</w:t>
      </w:r>
    </w:p>
    <w:p>
      <w:pPr>
        <w:pStyle w:val="Normal"/>
        <w:ind w:end="-143"/>
        <w:jc w:val="both"/>
        <w:rPr>
          <w:sz w:val="22"/>
          <w:szCs w:val="22"/>
        </w:rPr>
      </w:pPr>
      <w:r>
        <w:rPr>
          <w:sz w:val="22"/>
          <w:szCs w:val="22"/>
        </w:rP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>
      <w:pPr>
        <w:pStyle w:val="Normal"/>
        <w:ind w:end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Ciò in coerenza con l’art. 91, comma 5 del D.lgs 159/2011e la sentenza n. 4654 del 28/08/2012 del Consiglio di Stato Sez. V.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sectPr>
      <w:footerReference w:type="default" r:id="rId2"/>
      <w:type w:val="nextPage"/>
      <w:pgSz w:w="11906" w:h="16838"/>
      <w:pgMar w:left="1418" w:right="991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Bookman Old Style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  <w:rFonts w:ascii="Calibri" w:hAnsi="Calibri" w:eastAsia="Times New Roman" w:cs="Times New Roman"/>
      </w:r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1050" w:hanging="360"/>
      </w:pPr>
      <w:rPr>
        <w:b w:val="false"/>
        <w:rFonts w:cs="Times New Roman"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</w:abstractNum>
  <w:abstractNum w:abstractNumId="8">
    <w:lvl w:ilvl="0">
      <w:start w:val="1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Times New Roman" w:hAnsi="Times New Roman" w:cs="Times New Roman" w:hint="default"/>
      </w:rPr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</w:abstractNum>
  <w:abstractNum w:abstractNumId="1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Calibri" w:hAnsi="Calibri" w:eastAsia="Times New Roman" w:cs="Times New Roman"/>
      <w:b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rFonts w:cs="Times New Roman"/>
      <w:b w:val="false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>
      <w:rFonts w:cs="Times New Roman"/>
    </w:rPr>
  </w:style>
  <w:style w:type="character" w:styleId="Carpredefinitoparagrafo">
    <w:name w:val="Car. predefinito paragrafo"/>
    <w:qFormat/>
    <w:rPr/>
  </w:style>
  <w:style w:type="character" w:styleId="Rimandocommento">
    <w:name w:val="Rimando commento"/>
    <w:qFormat/>
    <w:rPr>
      <w:sz w:val="16"/>
      <w:szCs w:val="16"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rpodeltesto2">
    <w:name w:val="Corpo del testo 2"/>
    <w:basedOn w:val="Normal"/>
    <w:qFormat/>
    <w:pPr>
      <w:autoSpaceDE w:val="false"/>
      <w:spacing w:lineRule="auto" w:line="360"/>
      <w:ind w:hanging="284" w:start="284" w:end="0"/>
      <w:jc w:val="both"/>
    </w:pPr>
    <w:rPr>
      <w:rFonts w:ascii="Courier New" w:hAnsi="Courier New" w:cs="Courier New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commento">
    <w:name w:val="Testo commento"/>
    <w:basedOn w:val="Normal"/>
    <w:qFormat/>
    <w:pPr/>
    <w:rPr>
      <w:sz w:val="20"/>
      <w:szCs w:val="20"/>
    </w:rPr>
  </w:style>
  <w:style w:type="paragraph" w:styleId="Soggettocommento">
    <w:name w:val="Soggetto commento"/>
    <w:basedOn w:val="Testocommento"/>
    <w:next w:val="Testocommento"/>
    <w:qFormat/>
    <w:pPr/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hanging="0" w:start="720" w:end="0"/>
      <w:contextualSpacing/>
    </w:pPr>
    <w:rPr>
      <w:rFonts w:ascii="Calibri" w:hAnsi="Calibri" w:eastAsia="Calibri" w:cs="Calibri"/>
      <w:sz w:val="22"/>
      <w:szCs w:val="22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5</Pages>
  <Words>1613</Words>
  <Characters>9599</Characters>
  <CharactersWithSpaces>11311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2021-09-03T16:57:00Z</dcterms:created>
  <dc:creator>Ministero Interno</dc:creator>
  <dc:description/>
  <cp:keywords/>
  <dc:language>it-IT</dc:language>
  <cp:lastModifiedBy>Carlo Berni</cp:lastModifiedBy>
  <cp:lastPrinted>2020-12-14T17:00:00Z</cp:lastPrinted>
  <dcterms:modified xsi:type="dcterms:W3CDTF">2021-11-02T07:45:00Z</dcterms:modified>
  <cp:revision>4</cp:revision>
  <dc:subject/>
  <dc:title>Mod</dc:title>
</cp:coreProperties>
</file>