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76FF8" w14:textId="77777777" w:rsidR="00F43FB4" w:rsidRDefault="00F43FB4">
      <w:pPr>
        <w:rPr>
          <w:rFonts w:ascii="Arial" w:hAnsi="Arial" w:cs="Arial"/>
          <w:b/>
          <w:bCs/>
        </w:rPr>
      </w:pPr>
    </w:p>
    <w:p w14:paraId="429F2DCC" w14:textId="77777777" w:rsidR="00F43FB4" w:rsidRDefault="00F43FB4">
      <w:pPr>
        <w:jc w:val="center"/>
        <w:rPr>
          <w:rFonts w:ascii="Arial" w:hAnsi="Arial" w:cs="Arial"/>
          <w:b/>
          <w:bCs/>
        </w:rPr>
      </w:pPr>
    </w:p>
    <w:p w14:paraId="6FACC77E" w14:textId="77777777" w:rsidR="00F43FB4" w:rsidRDefault="00066D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INTEGRITA’</w:t>
      </w:r>
    </w:p>
    <w:p w14:paraId="526E2B8D" w14:textId="77777777" w:rsidR="00F43FB4" w:rsidRDefault="00F43FB4">
      <w:pPr>
        <w:jc w:val="center"/>
        <w:rPr>
          <w:rFonts w:ascii="Arial" w:hAnsi="Arial" w:cs="Arial"/>
          <w:b/>
          <w:bCs/>
        </w:rPr>
      </w:pPr>
    </w:p>
    <w:p w14:paraId="00BAE5CB" w14:textId="2778AEEF" w:rsidR="00380F86" w:rsidRDefault="00DA77ED" w:rsidP="00DA77ED">
      <w:pPr>
        <w:rPr>
          <w:rFonts w:ascii="Arial" w:hAnsi="Arial" w:cs="Arial"/>
          <w:b/>
          <w:sz w:val="22"/>
        </w:rPr>
      </w:pPr>
      <w:r w:rsidRPr="00DA77ED">
        <w:rPr>
          <w:rFonts w:ascii="Arial" w:hAnsi="Arial" w:cs="Arial"/>
          <w:b/>
          <w:sz w:val="22"/>
        </w:rPr>
        <w:t xml:space="preserve">Procedura aperta telematica ai sensi dell’art. 71 del </w:t>
      </w:r>
      <w:proofErr w:type="spellStart"/>
      <w:r w:rsidRPr="00DA77ED">
        <w:rPr>
          <w:rFonts w:ascii="Arial" w:hAnsi="Arial" w:cs="Arial"/>
          <w:b/>
          <w:sz w:val="22"/>
        </w:rPr>
        <w:t>D.Lgs.</w:t>
      </w:r>
      <w:proofErr w:type="spellEnd"/>
      <w:r w:rsidRPr="00DA77ED">
        <w:rPr>
          <w:rFonts w:ascii="Arial" w:hAnsi="Arial" w:cs="Arial"/>
          <w:b/>
          <w:sz w:val="22"/>
        </w:rPr>
        <w:t xml:space="preserve"> 36/2023 </w:t>
      </w:r>
      <w:proofErr w:type="spellStart"/>
      <w:r w:rsidRPr="00DA77ED">
        <w:rPr>
          <w:rFonts w:ascii="Arial" w:hAnsi="Arial" w:cs="Arial"/>
          <w:b/>
          <w:sz w:val="22"/>
        </w:rPr>
        <w:t>ss.mm.ii</w:t>
      </w:r>
      <w:proofErr w:type="spellEnd"/>
      <w:r w:rsidRPr="00DA77ED">
        <w:rPr>
          <w:rFonts w:ascii="Arial" w:hAnsi="Arial" w:cs="Arial"/>
          <w:b/>
          <w:sz w:val="22"/>
        </w:rPr>
        <w:t>. per l’affidamento dei lavori di rifunzionalizzazione della Caserma “Nino Bixio” di Genova - Bolzaneto, scheda patrimoniale GEB0416.</w:t>
      </w:r>
    </w:p>
    <w:p w14:paraId="49988756" w14:textId="77777777" w:rsidR="00380F86" w:rsidRDefault="00380F86">
      <w:pPr>
        <w:jc w:val="center"/>
        <w:rPr>
          <w:rFonts w:ascii="Arial" w:hAnsi="Arial" w:cs="Arial"/>
          <w:b/>
          <w:sz w:val="22"/>
        </w:rPr>
      </w:pPr>
    </w:p>
    <w:p w14:paraId="6375C8BB" w14:textId="77777777" w:rsidR="00380F86" w:rsidRDefault="00380F86">
      <w:pPr>
        <w:jc w:val="center"/>
        <w:rPr>
          <w:rFonts w:ascii="Arial" w:hAnsi="Arial" w:cs="Arial"/>
          <w:b/>
          <w:sz w:val="22"/>
        </w:rPr>
      </w:pPr>
    </w:p>
    <w:p w14:paraId="42B8393A" w14:textId="7B8CCBDD" w:rsidR="00F43FB4" w:rsidRDefault="00066DF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tra</w:t>
      </w:r>
    </w:p>
    <w:p w14:paraId="307849BA" w14:textId="77777777" w:rsidR="00F43FB4" w:rsidRDefault="00066DF8">
      <w:pPr>
        <w:spacing w:before="100" w:after="10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l’Agenzia del Demanio </w:t>
      </w:r>
    </w:p>
    <w:p w14:paraId="11B12E61" w14:textId="77777777" w:rsidR="00F43FB4" w:rsidRDefault="00066DF8">
      <w:pPr>
        <w:spacing w:before="100" w:after="100"/>
        <w:jc w:val="center"/>
        <w:rPr>
          <w:rFonts w:ascii="Arial" w:hAnsi="Arial" w:cs="Arial"/>
        </w:rPr>
      </w:pPr>
      <w:r>
        <w:rPr>
          <w:rFonts w:ascii="Arial" w:hAnsi="Arial" w:cs="Arial"/>
        </w:rPr>
        <w:t>e</w:t>
      </w:r>
    </w:p>
    <w:p w14:paraId="554CEF7E" w14:textId="77777777" w:rsidR="00F43FB4" w:rsidRDefault="00066DF8">
      <w:pPr>
        <w:spacing w:before="100" w:after="100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 ________________________________________________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 il _________ CF___________________________ residente a ______________________________ (___), via ________________ n.______  in qualità di:</w:t>
      </w:r>
    </w:p>
    <w:p w14:paraId="038C8DB8" w14:textId="77777777" w:rsidR="00F43FB4" w:rsidRDefault="00066DF8">
      <w:pPr>
        <w:ind w:left="709"/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>(se del caso)</w:t>
      </w:r>
      <w:r>
        <w:rPr>
          <w:rFonts w:ascii="Arial" w:hAnsi="Arial" w:cs="Arial"/>
        </w:rPr>
        <w:t xml:space="preserve"> legale rappresentante</w:t>
      </w:r>
      <w:r>
        <w:rPr>
          <w:rFonts w:ascii="Arial" w:hAnsi="Arial" w:cs="Arial"/>
          <w:i/>
        </w:rPr>
        <w:t xml:space="preserve"> </w:t>
      </w:r>
    </w:p>
    <w:p w14:paraId="42257042" w14:textId="77777777" w:rsidR="00F43FB4" w:rsidRDefault="00066DF8">
      <w:pPr>
        <w:ind w:left="709"/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 xml:space="preserve">(se del caso) </w:t>
      </w:r>
      <w:r>
        <w:rPr>
          <w:rFonts w:ascii="Arial" w:hAnsi="Arial" w:cs="Arial"/>
        </w:rPr>
        <w:t xml:space="preserve">procuratore generale/speciale, giusta procura allegata </w:t>
      </w:r>
    </w:p>
    <w:p w14:paraId="31507875" w14:textId="77777777" w:rsidR="00F43FB4" w:rsidRDefault="00066DF8">
      <w:pPr>
        <w:spacing w:before="100" w:after="100"/>
      </w:pPr>
      <w:r>
        <w:rPr>
          <w:rFonts w:ascii="Arial" w:hAnsi="Arial" w:cs="Arial"/>
        </w:rPr>
        <w:t xml:space="preserve">dell’operatore economico _________________________________________ </w:t>
      </w:r>
      <w:r>
        <w:rPr>
          <w:rFonts w:ascii="Arial" w:hAnsi="Arial" w:cs="Arial"/>
          <w:i/>
        </w:rPr>
        <w:t xml:space="preserve">(indicare la denominazione sociale) ____________________________________________ (indicare la forma giuridica) ________________________________________________________ 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indicare la sede legale</w:t>
      </w:r>
      <w:r>
        <w:rPr>
          <w:rFonts w:ascii="Arial" w:hAnsi="Arial" w:cs="Arial"/>
        </w:rPr>
        <w:t>) ___________________________________________________ (</w:t>
      </w:r>
      <w:r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 xml:space="preserve">)  ______________________________________________________; </w:t>
      </w:r>
    </w:p>
    <w:p w14:paraId="7729EA3B" w14:textId="77777777" w:rsidR="00F43FB4" w:rsidRDefault="00066DF8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VISTO</w:t>
      </w:r>
    </w:p>
    <w:p w14:paraId="1E0BCF73" w14:textId="77777777" w:rsidR="00F43FB4" w:rsidRDefault="00066DF8">
      <w:pPr>
        <w:spacing w:before="100" w:after="100"/>
      </w:pPr>
      <w:r>
        <w:rPr>
          <w:rFonts w:ascii="Arial" w:hAnsi="Arial" w:cs="Arial"/>
        </w:rPr>
        <w:t xml:space="preserve">- l’art. 1 co. 17 della L. 190/2012 </w:t>
      </w:r>
      <w:r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>
        <w:rPr>
          <w:rFonts w:ascii="Arial" w:hAnsi="Arial" w:cs="Arial"/>
        </w:rPr>
        <w:t xml:space="preserve">” il quale dispone che </w:t>
      </w:r>
      <w:r>
        <w:rPr>
          <w:rFonts w:ascii="Arial" w:hAnsi="Arial" w:cs="Arial"/>
          <w:i/>
        </w:rPr>
        <w:t>“le stazioni appaltanti possono prevedere negli avvisi, bandi di gara o lettere di invito  che  il  mancato  rispetto  delle  clausole contenute nei protocolli di  legalità  o  nei  patti  di  integrità costituisce causa di esclusione dalla gara”</w:t>
      </w:r>
      <w:r>
        <w:rPr>
          <w:rFonts w:ascii="Arial" w:hAnsi="Arial" w:cs="Arial"/>
        </w:rPr>
        <w:t>;</w:t>
      </w:r>
    </w:p>
    <w:p w14:paraId="4622258D" w14:textId="77777777" w:rsidR="00F43FB4" w:rsidRDefault="00066DF8">
      <w:pPr>
        <w:spacing w:before="100" w:after="100"/>
        <w:rPr>
          <w:rFonts w:ascii="Arial" w:hAnsi="Arial" w:cs="Arial"/>
        </w:rPr>
      </w:pPr>
      <w:r>
        <w:rPr>
          <w:rFonts w:ascii="Arial" w:hAnsi="Arial" w:cs="Arial"/>
        </w:rPr>
        <w:t xml:space="preserve">- il Piano Triennale di Prevenzione della Corruzione (PTPC) dell’Agenzia del Demanio; </w:t>
      </w:r>
    </w:p>
    <w:p w14:paraId="27076399" w14:textId="77777777" w:rsidR="00F43FB4" w:rsidRDefault="00F43FB4">
      <w:pPr>
        <w:spacing w:before="100" w:after="100"/>
        <w:rPr>
          <w:rFonts w:ascii="Arial" w:hAnsi="Arial" w:cs="Arial"/>
          <w:b/>
        </w:rPr>
      </w:pPr>
    </w:p>
    <w:p w14:paraId="6184A219" w14:textId="77777777" w:rsidR="00F43FB4" w:rsidRDefault="00066DF8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CONVIENE E SI STIPULA QUANTO SEGUE</w:t>
      </w:r>
    </w:p>
    <w:p w14:paraId="384B77CB" w14:textId="77777777" w:rsidR="00F43FB4" w:rsidRDefault="00F43FB4">
      <w:pPr>
        <w:spacing w:before="100" w:after="100"/>
        <w:jc w:val="center"/>
        <w:rPr>
          <w:rFonts w:ascii="Arial" w:hAnsi="Arial" w:cs="Arial"/>
          <w:b/>
        </w:rPr>
      </w:pPr>
    </w:p>
    <w:p w14:paraId="423F7100" w14:textId="77777777" w:rsidR="00F43FB4" w:rsidRDefault="00066DF8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1 - Finalità </w:t>
      </w:r>
    </w:p>
    <w:p w14:paraId="16DEE711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00533765" w14:textId="77777777" w:rsidR="00F43FB4" w:rsidRDefault="00F43FB4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1380C45C" w14:textId="77777777" w:rsidR="00F43FB4" w:rsidRDefault="00066DF8">
      <w:pPr>
        <w:tabs>
          <w:tab w:val="left" w:pos="360"/>
        </w:tabs>
        <w:spacing w:after="120"/>
      </w:pPr>
      <w:r>
        <w:rPr>
          <w:rFonts w:ascii="Arial" w:hAnsi="Arial" w:cs="Arial"/>
          <w:b/>
        </w:rPr>
        <w:t xml:space="preserve">Art. 2 - Durata </w:t>
      </w:r>
    </w:p>
    <w:p w14:paraId="4DF9A669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7D71D9B2" w14:textId="77777777" w:rsidR="00F43FB4" w:rsidRDefault="00F43FB4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13B985FE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3 - Obblighi a carico dell’operatore economico </w:t>
      </w:r>
    </w:p>
    <w:p w14:paraId="4F560C5B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Ai fini della formalizzazione dell’affidamento, l’operatore economico:  </w:t>
      </w:r>
    </w:p>
    <w:p w14:paraId="3324E9E8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2A2E43DF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</w:t>
      </w:r>
      <w:proofErr w:type="spellStart"/>
      <w:r>
        <w:rPr>
          <w:rFonts w:ascii="Arial" w:hAnsi="Arial" w:cs="Arial"/>
        </w:rPr>
        <w:t>sudette</w:t>
      </w:r>
      <w:proofErr w:type="spellEnd"/>
      <w:r>
        <w:rPr>
          <w:rFonts w:ascii="Arial" w:hAnsi="Arial" w:cs="Arial"/>
        </w:rPr>
        <w:t xml:space="preserve"> finalità; </w:t>
      </w:r>
    </w:p>
    <w:p w14:paraId="4BEE8CA4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1996461F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350CE53C" w14:textId="4810F0C4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dichiara, ai fini dell’applicazione dell’art. 53 co. 16 ter del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4AC2FDB2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58B79C5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42CB47D1" w14:textId="4CF157F5" w:rsidR="00F43FB4" w:rsidRDefault="00066DF8">
      <w:pPr>
        <w:tabs>
          <w:tab w:val="left" w:pos="360"/>
        </w:tabs>
        <w:spacing w:after="120"/>
        <w:ind w:left="360"/>
      </w:pPr>
      <w:r>
        <w:rPr>
          <w:rFonts w:ascii="Arial" w:hAnsi="Arial" w:cs="Arial"/>
          <w:b/>
          <w:color w:val="FF0000"/>
          <w:sz w:val="52"/>
          <w:szCs w:val="52"/>
        </w:rPr>
        <w:t>□</w:t>
      </w:r>
      <w:r>
        <w:rPr>
          <w:rFonts w:ascii="Arial" w:hAnsi="Arial" w:cs="Arial"/>
        </w:rPr>
        <w:t xml:space="preserve"> non sussi</w:t>
      </w:r>
      <w:r w:rsidR="006A1D4A">
        <w:rPr>
          <w:rFonts w:ascii="Arial" w:hAnsi="Arial" w:cs="Arial"/>
        </w:rPr>
        <w:t>s</w:t>
      </w:r>
      <w:r>
        <w:rPr>
          <w:rFonts w:ascii="Arial" w:hAnsi="Arial" w:cs="Arial"/>
        </w:rPr>
        <w:t>tono relazioni di parentela o affinità con i dipendenti dell’Agenzia del Demanio;</w:t>
      </w:r>
    </w:p>
    <w:p w14:paraId="0B8F012F" w14:textId="77777777" w:rsidR="00F43FB4" w:rsidRDefault="00F43FB4">
      <w:pPr>
        <w:tabs>
          <w:tab w:val="left" w:pos="360"/>
        </w:tabs>
        <w:spacing w:after="120"/>
        <w:jc w:val="center"/>
        <w:rPr>
          <w:rFonts w:ascii="Arial" w:hAnsi="Arial" w:cs="Arial"/>
        </w:rPr>
      </w:pPr>
    </w:p>
    <w:p w14:paraId="082D1CE7" w14:textId="77777777" w:rsidR="00F43FB4" w:rsidRDefault="00066DF8">
      <w:pPr>
        <w:tabs>
          <w:tab w:val="left" w:pos="3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ovvero</w:t>
      </w:r>
    </w:p>
    <w:p w14:paraId="45BA7F91" w14:textId="77777777" w:rsidR="00F43FB4" w:rsidRDefault="00066DF8">
      <w:pPr>
        <w:tabs>
          <w:tab w:val="left" w:pos="360"/>
        </w:tabs>
        <w:spacing w:after="120"/>
        <w:ind w:left="360"/>
      </w:pPr>
      <w:r>
        <w:rPr>
          <w:rFonts w:ascii="Arial" w:hAnsi="Arial" w:cs="Arial"/>
          <w:b/>
          <w:color w:val="FF0000"/>
          <w:sz w:val="52"/>
          <w:szCs w:val="52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</w:rPr>
        <w:t xml:space="preserve"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contratto; </w:t>
      </w:r>
    </w:p>
    <w:p w14:paraId="1EBCB99D" w14:textId="596BD670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obbliga ad informare puntualmente tutto il personale di cui si avvale del presente Patto di integrità e degli obblighi in esso contenuti e a vigilare affinch</w:t>
      </w:r>
      <w:r w:rsidR="006A1D4A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14:paraId="49299101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ad osservare il Modello di organizzazione, gestione e controllo dell’Agenzia ex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231/2001, reperibile sul sito istituzionale, ed a tenere un comportamento in linea con il relativo Codice Etico e, comunque, tale da non esporre l’Agenzia al rischio dell’applicazione delle sanzioni previste dal predetto decreto; </w:t>
      </w:r>
    </w:p>
    <w:p w14:paraId="5AACAC74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obbliga ad inserire identiche clausole di integrità ed anti-corruzione negli eventuali contratti di subappalto;</w:t>
      </w:r>
    </w:p>
    <w:p w14:paraId="2D60B6DB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si impegna a denunciare alle Autorità competenti ogni irregolarità o distorsione di cui sia venuta a conoscenza per quanto attiene l’attività di cui all’oggetto.  </w:t>
      </w:r>
    </w:p>
    <w:p w14:paraId="7253CBCB" w14:textId="77777777" w:rsidR="00F43FB4" w:rsidRDefault="00F43FB4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13BE1B97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4 - Obblighi a carico dell’Agenzia </w:t>
      </w:r>
    </w:p>
    <w:p w14:paraId="7F35389B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37C9A0D3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4D2B84B6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obbliga a garantire adeguata pubblicità degli atti inerenti il presente affidamento secondo le modalità previste dalla legge. </w:t>
      </w:r>
    </w:p>
    <w:p w14:paraId="198F0D97" w14:textId="77777777" w:rsidR="00F43FB4" w:rsidRDefault="00F43FB4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20091AAC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5 - Violazione del Patto di Integrità </w:t>
      </w:r>
    </w:p>
    <w:p w14:paraId="1850F089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74286626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4CE3AA5A" w14:textId="77777777" w:rsidR="00F43FB4" w:rsidRDefault="00F43FB4">
      <w:pPr>
        <w:tabs>
          <w:tab w:val="left" w:pos="360"/>
        </w:tabs>
        <w:spacing w:after="120"/>
        <w:rPr>
          <w:rFonts w:ascii="Arial" w:hAnsi="Arial" w:cs="Arial"/>
        </w:rPr>
      </w:pPr>
    </w:p>
    <w:p w14:paraId="550B23EC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6 - Controversie </w:t>
      </w:r>
    </w:p>
    <w:p w14:paraId="276DFDC9" w14:textId="77777777" w:rsidR="00F43FB4" w:rsidRDefault="00066DF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41ADD4D2" w14:textId="77777777" w:rsidR="00F43FB4" w:rsidRDefault="00F43FB4">
      <w:pPr>
        <w:tabs>
          <w:tab w:val="left" w:pos="360"/>
        </w:tabs>
        <w:spacing w:before="100" w:after="100"/>
        <w:rPr>
          <w:rFonts w:ascii="Arial" w:hAnsi="Arial" w:cs="Arial"/>
        </w:rPr>
      </w:pPr>
    </w:p>
    <w:p w14:paraId="44CA5D19" w14:textId="77777777" w:rsidR="00F43FB4" w:rsidRDefault="00F43FB4">
      <w:pPr>
        <w:tabs>
          <w:tab w:val="left" w:pos="360"/>
        </w:tabs>
        <w:spacing w:before="100" w:after="100"/>
        <w:rPr>
          <w:rFonts w:ascii="Arial" w:hAnsi="Arial" w:cs="Arial"/>
        </w:rPr>
      </w:pPr>
    </w:p>
    <w:p w14:paraId="226255A3" w14:textId="77777777" w:rsidR="00F43FB4" w:rsidRDefault="00066DF8">
      <w:pPr>
        <w:tabs>
          <w:tab w:val="left" w:pos="360"/>
        </w:tabs>
        <w:spacing w:before="100" w:after="100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:  _______________________________________</w:t>
      </w:r>
    </w:p>
    <w:p w14:paraId="317C019E" w14:textId="77777777" w:rsidR="00F43FB4" w:rsidRDefault="00F43FB4">
      <w:pPr>
        <w:tabs>
          <w:tab w:val="left" w:pos="360"/>
        </w:tabs>
        <w:spacing w:before="100" w:after="100"/>
        <w:rPr>
          <w:rFonts w:ascii="Arial" w:hAnsi="Arial" w:cs="Arial"/>
        </w:rPr>
      </w:pPr>
    </w:p>
    <w:p w14:paraId="7D56D519" w14:textId="77777777" w:rsidR="00F43FB4" w:rsidRDefault="00F43FB4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F43F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29" w:right="1134" w:bottom="1361" w:left="1134" w:header="680" w:footer="2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5CD22" w14:textId="77777777" w:rsidR="00066DF8" w:rsidRDefault="00066DF8">
      <w:r>
        <w:separator/>
      </w:r>
    </w:p>
  </w:endnote>
  <w:endnote w:type="continuationSeparator" w:id="0">
    <w:p w14:paraId="1D352EDE" w14:textId="77777777" w:rsidR="00066DF8" w:rsidRDefault="00066DF8">
      <w:r>
        <w:continuationSeparator/>
      </w:r>
    </w:p>
  </w:endnote>
  <w:endnote w:type="continuationNotice" w:id="1">
    <w:p w14:paraId="6492CDDE" w14:textId="77777777" w:rsidR="00DF2D96" w:rsidRDefault="00DF2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0371E" w14:textId="77777777" w:rsidR="00B3274F" w:rsidRDefault="00B327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299A" w14:textId="77777777" w:rsidR="00066DF8" w:rsidRDefault="00066DF8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</w:p>
  <w:p w14:paraId="5EE1AA8C" w14:textId="77777777" w:rsidR="00066DF8" w:rsidRDefault="00066DF8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44D2" w14:textId="77777777" w:rsidR="00066DF8" w:rsidRDefault="00066DF8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14:paraId="776D1376" w14:textId="77777777" w:rsidR="00066DF8" w:rsidRDefault="00066D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94D7B" w14:textId="77777777" w:rsidR="00066DF8" w:rsidRDefault="00066DF8">
      <w:r>
        <w:rPr>
          <w:color w:val="000000"/>
        </w:rPr>
        <w:separator/>
      </w:r>
    </w:p>
  </w:footnote>
  <w:footnote w:type="continuationSeparator" w:id="0">
    <w:p w14:paraId="3A0E473B" w14:textId="77777777" w:rsidR="00066DF8" w:rsidRDefault="00066DF8">
      <w:r>
        <w:continuationSeparator/>
      </w:r>
    </w:p>
  </w:footnote>
  <w:footnote w:type="continuationNotice" w:id="1">
    <w:p w14:paraId="56CCFF93" w14:textId="77777777" w:rsidR="00DF2D96" w:rsidRDefault="00DF2D96"/>
  </w:footnote>
  <w:footnote w:id="2">
    <w:p w14:paraId="3C5AE656" w14:textId="77777777" w:rsidR="00F43FB4" w:rsidRDefault="00066DF8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06435679" w14:textId="77777777" w:rsidR="00F43FB4" w:rsidRDefault="00066DF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605922A4" w14:textId="77777777" w:rsidR="00F43FB4" w:rsidRDefault="00066DF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5692E0BE" w14:textId="77777777" w:rsidR="00F43FB4" w:rsidRDefault="00066DF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5BC4B9D4" w14:textId="77777777" w:rsidR="00F43FB4" w:rsidRDefault="00F43FB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775CC" w14:textId="77777777" w:rsidR="00B3274F" w:rsidRDefault="00B327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0939D" w14:textId="77777777" w:rsidR="00066DF8" w:rsidRDefault="00066DF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Patto di integrità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45267" w14:textId="6E29B793" w:rsidR="00066DF8" w:rsidRDefault="00066DF8">
    <w:pPr>
      <w:pStyle w:val="Intestazione"/>
    </w:pPr>
    <w:proofErr w:type="spellStart"/>
    <w:r>
      <w:rPr>
        <w:rFonts w:ascii="Arial" w:hAnsi="Arial" w:cs="Arial"/>
        <w:sz w:val="20"/>
        <w:szCs w:val="20"/>
      </w:rPr>
      <w:t>All</w:t>
    </w:r>
    <w:proofErr w:type="spellEnd"/>
    <w:r w:rsidR="00B3274F">
      <w:rPr>
        <w:rFonts w:ascii="Arial" w:hAnsi="Arial" w:cs="Arial"/>
        <w:sz w:val="20"/>
        <w:szCs w:val="20"/>
      </w:rPr>
      <w:t>.</w:t>
    </w:r>
    <w:r>
      <w:rPr>
        <w:rFonts w:ascii="Arial" w:hAnsi="Arial" w:cs="Arial"/>
        <w:sz w:val="20"/>
        <w:szCs w:val="20"/>
      </w:rPr>
      <w:t xml:space="preserve"> III</w:t>
    </w:r>
    <w:r w:rsidR="00B3274F">
      <w:rPr>
        <w:rFonts w:ascii="Arial" w:hAnsi="Arial" w:cs="Arial"/>
        <w:sz w:val="20"/>
        <w:szCs w:val="20"/>
      </w:rPr>
      <w:t xml:space="preserve"> </w:t>
    </w:r>
    <w:r w:rsidR="00096A83">
      <w:rPr>
        <w:rFonts w:ascii="Arial" w:hAnsi="Arial" w:cs="Arial"/>
        <w:sz w:val="20"/>
        <w:szCs w:val="20"/>
      </w:rPr>
      <w:t>–</w:t>
    </w:r>
    <w:r w:rsidR="00B3274F">
      <w:rPr>
        <w:rFonts w:ascii="Arial" w:hAnsi="Arial" w:cs="Arial"/>
        <w:sz w:val="20"/>
        <w:szCs w:val="20"/>
      </w:rPr>
      <w:t xml:space="preserve"> </w:t>
    </w:r>
    <w:r w:rsidR="00096A83">
      <w:rPr>
        <w:rFonts w:ascii="Arial" w:hAnsi="Arial" w:cs="Arial"/>
        <w:sz w:val="20"/>
        <w:szCs w:val="20"/>
      </w:rPr>
      <w:t>Patto d’integrità</w:t>
    </w:r>
    <w:r>
      <w:rPr>
        <w:rFonts w:ascii="Arial" w:hAnsi="Arial" w:cs="Arial"/>
        <w:sz w:val="20"/>
        <w:szCs w:val="20"/>
      </w:rPr>
      <w:tab/>
    </w:r>
  </w:p>
  <w:p w14:paraId="59DA24A4" w14:textId="77777777" w:rsidR="00066DF8" w:rsidRDefault="00066DF8">
    <w:pPr>
      <w:pStyle w:val="Intestazione"/>
      <w:rPr>
        <w:rFonts w:ascii="Arial" w:hAnsi="Arial" w:cs="Arial"/>
        <w:color w:val="808080"/>
        <w:sz w:val="20"/>
        <w:szCs w:val="20"/>
      </w:rPr>
    </w:pPr>
  </w:p>
  <w:p w14:paraId="20BC7EB9" w14:textId="77777777" w:rsidR="00066DF8" w:rsidRDefault="00066DF8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71F3"/>
    <w:multiLevelType w:val="multilevel"/>
    <w:tmpl w:val="78BA17F6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104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FB4"/>
    <w:rsid w:val="00066DF8"/>
    <w:rsid w:val="00096A83"/>
    <w:rsid w:val="00097932"/>
    <w:rsid w:val="001D3BB4"/>
    <w:rsid w:val="002316D7"/>
    <w:rsid w:val="002403B3"/>
    <w:rsid w:val="00365C82"/>
    <w:rsid w:val="00380F86"/>
    <w:rsid w:val="003B0BD3"/>
    <w:rsid w:val="006A1D4A"/>
    <w:rsid w:val="006B6A36"/>
    <w:rsid w:val="008F6B1B"/>
    <w:rsid w:val="00964430"/>
    <w:rsid w:val="00994F04"/>
    <w:rsid w:val="009F1F81"/>
    <w:rsid w:val="00AB0C9C"/>
    <w:rsid w:val="00B3274F"/>
    <w:rsid w:val="00DA77ED"/>
    <w:rsid w:val="00DB1510"/>
    <w:rsid w:val="00DF2D96"/>
    <w:rsid w:val="00E73354"/>
    <w:rsid w:val="00ED5707"/>
    <w:rsid w:val="00EF4559"/>
    <w:rsid w:val="00F43FB4"/>
    <w:rsid w:val="7EA2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184C6"/>
  <w15:docId w15:val="{FB1BA502-22E0-48E0-B61A-DC6E81C1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305d1f-333b-49ab-8499-895b2d48ec87">
      <Terms xmlns="http://schemas.microsoft.com/office/infopath/2007/PartnerControls"/>
    </lcf76f155ced4ddcb4097134ff3c332f>
    <TaxCatchAll xmlns="eda81ab4-4519-4903-bba9-b01eb808f9f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5DC161B62957468EAE466416A83BF7" ma:contentTypeVersion="15" ma:contentTypeDescription="Creare un nuovo documento." ma:contentTypeScope="" ma:versionID="b6d41130298beb32c562f4509f354a5c">
  <xsd:schema xmlns:xsd="http://www.w3.org/2001/XMLSchema" xmlns:xs="http://www.w3.org/2001/XMLSchema" xmlns:p="http://schemas.microsoft.com/office/2006/metadata/properties" xmlns:ns2="7d305d1f-333b-49ab-8499-895b2d48ec87" xmlns:ns3="eda81ab4-4519-4903-bba9-b01eb808f9fe" targetNamespace="http://schemas.microsoft.com/office/2006/metadata/properties" ma:root="true" ma:fieldsID="1bef56cc266d6a355ea76905b891c94b" ns2:_="" ns3:_="">
    <xsd:import namespace="7d305d1f-333b-49ab-8499-895b2d48ec87"/>
    <xsd:import namespace="eda81ab4-4519-4903-bba9-b01eb808f9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05d1f-333b-49ab-8499-895b2d48e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81ab4-4519-4903-bba9-b01eb808f9f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0cc08-67f8-4933-9c14-beb7e6469296}" ma:internalName="TaxCatchAll" ma:showField="CatchAllData" ma:web="eda81ab4-4519-4903-bba9-b01eb808f9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A75C6-A36B-4C83-B82A-7C929E475963}">
  <ds:schemaRefs>
    <ds:schemaRef ds:uri="http://schemas.microsoft.com/office/2006/metadata/properties"/>
    <ds:schemaRef ds:uri="http://schemas.microsoft.com/office/infopath/2007/PartnerControls"/>
    <ds:schemaRef ds:uri="7d305d1f-333b-49ab-8499-895b2d48ec87"/>
    <ds:schemaRef ds:uri="eda81ab4-4519-4903-bba9-b01eb808f9fe"/>
  </ds:schemaRefs>
</ds:datastoreItem>
</file>

<file path=customXml/itemProps2.xml><?xml version="1.0" encoding="utf-8"?>
<ds:datastoreItem xmlns:ds="http://schemas.openxmlformats.org/officeDocument/2006/customXml" ds:itemID="{D1151FB0-A9CD-44D1-AC0D-3A2F70194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F4E51-696C-4AAA-998D-E942F0F5A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05d1f-333b-49ab-8499-895b2d48ec87"/>
    <ds:schemaRef ds:uri="eda81ab4-4519-4903-bba9-b01eb808f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1100</Words>
  <Characters>6273</Characters>
  <Application>Microsoft Office Word</Application>
  <DocSecurity>0</DocSecurity>
  <Lines>52</Lines>
  <Paragraphs>14</Paragraphs>
  <ScaleCrop>false</ScaleCrop>
  <Company>Agenzia del Demanio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cp:lastModifiedBy>CARDONA ALESSANDRA VINCENZA</cp:lastModifiedBy>
  <cp:revision>9</cp:revision>
  <cp:lastPrinted>2017-06-26T17:40:00Z</cp:lastPrinted>
  <dcterms:created xsi:type="dcterms:W3CDTF">2024-07-17T20:08:00Z</dcterms:created>
  <dcterms:modified xsi:type="dcterms:W3CDTF">2024-07-22T07:01:00Z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2024-03-29T13:42:50Z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6e2b2710-7e06-47e1-885b-dc313202c9b8</vt:lpwstr>
  </property>
  <property fmtid="{D5CDD505-2E9C-101B-9397-08002B2CF9AE}" pid="8" name="MSIP_Label_c078091e-e61d-4883-a332-9368e619fa5f_ContentBits">
    <vt:lpwstr>0</vt:lpwstr>
  </property>
  <property fmtid="{D5CDD505-2E9C-101B-9397-08002B2CF9AE}" pid="9" name="ContentTypeId">
    <vt:lpwstr>0x0101004C5DC161B62957468EAE466416A83BF7</vt:lpwstr>
  </property>
  <property fmtid="{D5CDD505-2E9C-101B-9397-08002B2CF9AE}" pid="10" name="MediaServiceImageTags">
    <vt:lpwstr/>
  </property>
</Properties>
</file>